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/>
      <w:r/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30 ноября введена обязательная маркировка спиртосодержащей непищевой продукции с содержанием этилового спирта более 10% объема готовой продукции.</w:t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Производители обязаны предоставлять сведения об объемах производства продукции и оборота в государст</w:t>
      </w:r>
      <w:r>
        <w:rPr>
          <w:sz w:val="28"/>
          <w:szCs w:val="28"/>
        </w:rPr>
        <w:t xml:space="preserve">венную информационную систему.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Разрешено производить до конца 2025 года ректификованный этиловый спирт с содержанием воды не более 0,2% по объему организациям, имеющим лицензию на производство, хранение и пост</w:t>
      </w:r>
      <w:r>
        <w:rPr>
          <w:sz w:val="28"/>
          <w:szCs w:val="28"/>
        </w:rPr>
        <w:t xml:space="preserve">авку произведенного биоэтанола.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2" w:default="1">
    <w:name w:val="Default Paragraph Font"/>
    <w:uiPriority w:val="1"/>
    <w:semiHidden/>
    <w:unhideWhenUsed/>
  </w:style>
  <w:style w:type="numbering" w:styleId="763" w:default="1">
    <w:name w:val="No List"/>
    <w:uiPriority w:val="99"/>
    <w:semiHidden/>
    <w:unhideWhenUsed/>
  </w:style>
  <w:style w:type="table" w:styleId="76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2024-12-13T13:55:00Z</dcterms:created>
  <dcterms:modified xsi:type="dcterms:W3CDTF">2024-12-16T08:13:15Z</dcterms:modified>
  <cp:version>1048576</cp:version>
</cp:coreProperties>
</file>