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b/>
          <w:bCs/>
          <w:sz w:val="32"/>
          <w:szCs w:val="32"/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641"/>
      </w:pPr>
      <w:r/>
      <w:r/>
    </w:p>
    <w:p>
      <w:pPr>
        <w:pStyle w:val="641"/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6.24 Кодекса об административных правонарушениях Российской Федерации предусмотрена ответственность за курение в определенных общественных местах.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таким местам относятся образовательные и спортивные учреждения, медицинск</w:t>
      </w:r>
      <w:r>
        <w:rPr>
          <w:sz w:val="28"/>
          <w:szCs w:val="28"/>
        </w:rPr>
        <w:t xml:space="preserve">ие учреждения, поезда и суда, воздушные суда, вокзалы, аэропорты и порты (</w:t>
      </w:r>
      <w:r>
        <w:rPr>
          <w:sz w:val="28"/>
          <w:szCs w:val="28"/>
        </w:rPr>
        <w:t xml:space="preserve">в том числе расстояние 15 метров от входа), гостиницы, торговые помещения, помещения социальны</w:t>
      </w:r>
      <w:r>
        <w:rPr>
          <w:sz w:val="28"/>
          <w:szCs w:val="28"/>
        </w:rPr>
        <w:t xml:space="preserve">х служб, органов власти, рабочие места, лифты, детские площадки, пляжи, автозаправочные станции, помещения общественного питания.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Курение допускается при наличии специально выделенного и изолированного места для курения.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курение в таких местах предусмотрена ответственность в виде штрафа в размере от 500 до 1 тысячи рублей, а за курение на детской площадке - от 2 до 3 тысяч рублей.</w:t>
      </w: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9" w:default="1">
    <w:name w:val="Default Paragraph Font"/>
    <w:uiPriority w:val="1"/>
    <w:semiHidden/>
    <w:unhideWhenUsed/>
  </w:style>
  <w:style w:type="numbering" w:styleId="770" w:default="1">
    <w:name w:val="No List"/>
    <w:uiPriority w:val="99"/>
    <w:semiHidden/>
    <w:unhideWhenUsed/>
  </w:style>
  <w:style w:type="table" w:styleId="7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2024-12-13T14:12:00Z</dcterms:created>
  <dcterms:modified xsi:type="dcterms:W3CDTF">2024-12-16T08:12:16Z</dcterms:modified>
  <cp:version>1048576</cp:version>
</cp:coreProperties>
</file>