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защитить домашнюю сеть Wi-Fi?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Злоумышленники могут взламывать не только публичные сети, но и домашние, тем самым получив доступ ко всем вашим данным и к «Умному дому». 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Прежде всего нужно изменить имя домашней сети, так как чаще всего по умолча</w:t>
      </w:r>
      <w:r>
        <w:rPr>
          <w:sz w:val="28"/>
          <w:szCs w:val="28"/>
        </w:rPr>
        <w:t xml:space="preserve">нию оно содержит название компании провайдера, узнав которое мошенники могут применять различные уловки. 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для роутера стоит создат</w:t>
      </w:r>
      <w:r>
        <w:rPr>
          <w:sz w:val="28"/>
          <w:szCs w:val="28"/>
        </w:rPr>
        <w:t xml:space="preserve">ь надежный пароль и усилить шифрование сети. WPA2 и WPA3 являются оптимальными протоколами для защиты Wi-Fi. 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Регулярно обновляйте прошивку вашего роутера, так как предыдущие версии могут иметь уязвимости. 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защиты вашей сети еще можно создать отдельную сеть для интернета вещей и людей, подключающихся к вашей сети (например, для гостей). 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выходе из дома, отключайте сеть Wi-Fi: злоумышленники просто не будут ее видеть. </w:t>
      </w:r>
      <w:r/>
    </w:p>
    <w:p>
      <w:pPr>
        <w:pStyle w:val="641"/>
        <w:ind w:firstLine="0"/>
      </w:pPr>
      <w:r>
        <w:rPr>
          <w:szCs w:val="28"/>
        </w:rPr>
      </w:r>
      <w:r>
        <w:rPr>
          <w:szCs w:val="28"/>
        </w:rPr>
      </w:r>
    </w:p>
    <w:p>
      <w:pPr>
        <w:pStyle w:val="641"/>
        <w:ind w:firstLine="0"/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82" w:default="1">
    <w:name w:val="Default Paragraph Font"/>
    <w:uiPriority w:val="1"/>
    <w:semiHidden/>
    <w:unhideWhenUsed/>
  </w:style>
  <w:style w:type="numbering" w:styleId="783" w:default="1">
    <w:name w:val="No List"/>
    <w:uiPriority w:val="99"/>
    <w:semiHidden/>
    <w:unhideWhenUsed/>
  </w:style>
  <w:style w:type="table" w:styleId="78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2024-12-13T13:52:00Z</dcterms:created>
  <dcterms:modified xsi:type="dcterms:W3CDTF">2024-12-16T08:33:44Z</dcterms:modified>
  <cp:version>1048576</cp:version>
</cp:coreProperties>
</file>