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Федеральный закон «Об информации, информационных технологиях и о защите информации»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 ноября 2024 г</w:t>
      </w:r>
      <w:r>
        <w:rPr>
          <w:sz w:val="28"/>
          <w:szCs w:val="28"/>
        </w:rPr>
        <w:t xml:space="preserve">ода Генеральной прокуратурой Российской Федерации будет осуществляться внесудебная блокировка сайтов с рекламой незаконных услуг для мигрантов и реализации поддельных документов для оформления миграционного статуса.</w:t>
      </w:r>
      <w:r/>
    </w:p>
    <w:p>
      <w:pPr>
        <w:pStyle w:val="63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4" w:default="1">
    <w:name w:val="Default Paragraph Font"/>
    <w:uiPriority w:val="1"/>
    <w:semiHidden/>
    <w:unhideWhenUsed/>
  </w:style>
  <w:style w:type="numbering" w:styleId="755" w:default="1">
    <w:name w:val="No List"/>
    <w:uiPriority w:val="99"/>
    <w:semiHidden/>
    <w:unhideWhenUsed/>
  </w:style>
  <w:style w:type="table" w:styleId="7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2024-12-13T14:02:00Z</dcterms:created>
  <dcterms:modified xsi:type="dcterms:W3CDTF">2024-12-16T08:25:44Z</dcterms:modified>
  <cp:version>1048576</cp:version>
</cp:coreProperties>
</file>