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Семейный кодекс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23 ноября 2024 года гражданам государств, в которых разрешена смена пола, запрещено усыновлять, </w:t>
      </w:r>
      <w:r>
        <w:rPr>
          <w:sz w:val="28"/>
          <w:szCs w:val="28"/>
        </w:rPr>
        <w:t xml:space="preserve">удочерять или передавать под опеку российских детей.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4" w:default="1">
    <w:name w:val="Default Paragraph Font"/>
    <w:uiPriority w:val="1"/>
    <w:semiHidden/>
    <w:unhideWhenUsed/>
  </w:style>
  <w:style w:type="numbering" w:styleId="755" w:default="1">
    <w:name w:val="No List"/>
    <w:uiPriority w:val="99"/>
    <w:semiHidden/>
    <w:unhideWhenUsed/>
  </w:style>
  <w:style w:type="table" w:styleId="7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2024-12-13T13:59:00Z</dcterms:created>
  <dcterms:modified xsi:type="dcterms:W3CDTF">2024-12-16T08:57:53Z</dcterms:modified>
  <cp:version>1048576</cp:version>
</cp:coreProperties>
</file>