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Уголовный кодекс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 ноября 2024 года в соответствии со статьей 104.1 Уголовного кодекса в перечень преступлен</w:t>
      </w:r>
      <w:r>
        <w:rPr>
          <w:sz w:val="28"/>
          <w:szCs w:val="28"/>
        </w:rPr>
        <w:t xml:space="preserve">ий, в качестве ответственности за которые может быть применена конфискация имущества, включены деяния, связанные, с организацией незаконной миграции.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6</cp:revision>
  <dcterms:created xsi:type="dcterms:W3CDTF">2024-12-13T14:01:00Z</dcterms:created>
  <dcterms:modified xsi:type="dcterms:W3CDTF">2024-12-16T09:07:52Z</dcterms:modified>
  <cp:version>1048576</cp:version>
</cp:coreProperties>
</file>