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Внесены изменения в статью 8.52 Кодекса Российской Федерации об административных правонарушениях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Установлена отве</w:t>
      </w:r>
      <w:r>
        <w:rPr>
          <w:sz w:val="28"/>
          <w:szCs w:val="28"/>
        </w:rPr>
        <w:t xml:space="preserve">тственность за несоблюдение требований к содержанию домашних животных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физическим лицам за такое правонарушение будет грозить административная ответственность в виде штрафа в размере до 3 тысяч рублей, должностным лицам - до 15 тысяч рублей, организациям - до 30 тысяч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8" w:default="1">
    <w:name w:val="Default Paragraph Font"/>
    <w:uiPriority w:val="1"/>
    <w:semiHidden/>
    <w:unhideWhenUsed/>
  </w:style>
  <w:style w:type="numbering" w:styleId="769" w:default="1">
    <w:name w:val="No List"/>
    <w:uiPriority w:val="99"/>
    <w:semiHidden/>
    <w:unhideWhenUsed/>
  </w:style>
  <w:style w:type="table" w:styleId="7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2024-12-13T13:54:00Z</dcterms:created>
  <dcterms:modified xsi:type="dcterms:W3CDTF">2024-12-16T09:12:56Z</dcterms:modified>
  <cp:version>1048576</cp:version>
</cp:coreProperties>
</file>