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делать, если вы стали жертвой мошенничества?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Во-первых, нужно прекратить взаимодействие с мошенниками, не отвечать на их сообщения, письма, звонки, не переходи</w:t>
      </w:r>
      <w:r>
        <w:rPr>
          <w:sz w:val="28"/>
          <w:szCs w:val="28"/>
        </w:rPr>
        <w:t xml:space="preserve">те по ссылкам и не открывайте файлы, которые они прислали.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Во-вторых, заблокируйте мош</w:t>
      </w:r>
      <w:r>
        <w:rPr>
          <w:sz w:val="28"/>
          <w:szCs w:val="28"/>
        </w:rPr>
        <w:t xml:space="preserve">енников в социальных сетях, номера телефонов, с которых вам звонили.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В-третьих, сохраните все сообщения, письма, ссылки, звонки и другие материалы, которые м</w:t>
      </w:r>
      <w:r>
        <w:rPr>
          <w:sz w:val="28"/>
          <w:szCs w:val="28"/>
        </w:rPr>
        <w:t xml:space="preserve">огут послужить доказательством мошенничества.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В-четвертых, обратитесь в правоохранительные органы, предоставив все сохраненные материалы, в финансовую организацию, если мошенничество связанно с финансовыми средствами, свяжитесь с вашим банком.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В-пятых, нужно изменить все пароли к вашим аккаунтам, тем более к банковским. В качестве нового пароля поставьте сложный и надежный. Регулярно проверяйте свои банковские счета на </w:t>
      </w:r>
      <w:r>
        <w:rPr>
          <w:sz w:val="28"/>
          <w:szCs w:val="28"/>
        </w:rPr>
        <w:t xml:space="preserve">предмет подозрительной активности. 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72" w:default="1">
    <w:name w:val="Default Paragraph Font"/>
    <w:uiPriority w:val="1"/>
    <w:semiHidden/>
    <w:unhideWhenUsed/>
  </w:style>
  <w:style w:type="numbering" w:styleId="773" w:default="1">
    <w:name w:val="No List"/>
    <w:uiPriority w:val="99"/>
    <w:semiHidden/>
    <w:unhideWhenUsed/>
  </w:style>
  <w:style w:type="table" w:styleId="7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2024-12-13T14:08:00Z</dcterms:created>
  <dcterms:modified xsi:type="dcterms:W3CDTF">2024-12-16T09:04:08Z</dcterms:modified>
  <cp:version>1048576</cp:version>
</cp:coreProperties>
</file>