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/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России с 1 марта 2025 года начнет действовать запрет на продажу несовершеннолетним безалкогольных тонизирующих напитков, в том числе энергетических.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</w:pPr>
      <w:r>
        <w:rPr>
          <w:sz w:val="28"/>
          <w:szCs w:val="28"/>
        </w:rPr>
        <w:t xml:space="preserve">В случае возникновения у продавца сомнения в совершеннолетии покупателя он имеет право потребовать предоставить документ, удостоверяющий его возраст.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региональными властями может устанавливаться запрет на продажу таких напитков в зданиях и помещениях, которые используются в образовательных, медицинских, культурных и спортивных целях.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44" w:default="1">
    <w:name w:val="Default Paragraph Font"/>
    <w:uiPriority w:val="1"/>
    <w:semiHidden/>
    <w:unhideWhenUsed/>
  </w:style>
  <w:style w:type="numbering" w:styleId="745" w:default="1">
    <w:name w:val="No List"/>
    <w:uiPriority w:val="99"/>
    <w:semiHidden/>
    <w:unhideWhenUsed/>
  </w:style>
  <w:style w:type="table" w:styleId="7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2024-10-28T16:36:00Z</dcterms:created>
  <dcterms:modified xsi:type="dcterms:W3CDTF">2024-11-13T11:26:17Z</dcterms:modified>
  <cp:version>1048576</cp:version>
</cp:coreProperties>
</file>