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</w:t>
      </w:r>
      <w:r>
        <w:rPr>
          <w:rStyle w:val="657"/>
          <w:rFonts w:ascii="Times New Roman" w:hAnsi="Times New Roman"/>
          <w:sz w:val="28"/>
          <w:szCs w:val="28"/>
        </w:rPr>
        <w:t xml:space="preserve"> вступили в силу положения закона «О майнинге», которые позволяют законно добывать криптовалюты на территории Российской Федерации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Теперь заниматься майнингом могу</w:t>
      </w:r>
      <w:r>
        <w:rPr>
          <w:rStyle w:val="657"/>
          <w:rFonts w:ascii="Times New Roman" w:hAnsi="Times New Roman"/>
          <w:sz w:val="28"/>
          <w:szCs w:val="28"/>
        </w:rPr>
        <w:t xml:space="preserve">т индивидуальные предприниматели и юридические лица, зарегистрированные в реестре Федеральной налоговой службы. Физические лица могут добывать криптовалюту без включения в реестр, но в пределах лимитов энергопотребления, которые устанавливаются регионами. 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2024-11-07T12:57:00Z</dcterms:created>
  <dcterms:modified xsi:type="dcterms:W3CDTF">2024-11-13T11:17:32Z</dcterms:modified>
  <cp:version>1048576</cp:version>
</cp:coreProperties>
</file>