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Меры по противодействию экстремизму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целей противодействия экстремизму применяется комплекс мер, предусмотренных законодательством.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частности, на основании ст. 5 Закона о противодействии экстремизму в целях противодействия экстремистской деятельности федеральные органы государственной власти, органы госуда</w:t>
      </w:r>
      <w:r>
        <w:rPr>
          <w:bCs/>
          <w:sz w:val="28"/>
          <w:szCs w:val="28"/>
        </w:rPr>
        <w:t xml:space="preserve">рственной власти субъектов РФ,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Такие меры закреплены специальными нормами законодательства. Например, на основании п. 7.1 ч. 1 ст. 14 Федерального закона от 06.10.2003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 131-ФЗ "Об общих принципах организации местного самоуправлени</w:t>
      </w:r>
      <w:r>
        <w:rPr>
          <w:bCs/>
          <w:sz w:val="28"/>
          <w:szCs w:val="28"/>
        </w:rPr>
        <w:t xml:space="preserve">я в Российской Федерации" к вопросам местного значения городского, сельского поселения относится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поселения.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Согл</w:t>
      </w:r>
      <w:r>
        <w:rPr>
          <w:bCs/>
          <w:sz w:val="28"/>
          <w:szCs w:val="28"/>
        </w:rPr>
        <w:t xml:space="preserve">асно ст. ст. 6, 7 Закона о противодействии экстремизму в качестве мер для противодействия экстремизму также применяется предостережение или предупреждение со стороны компетентных органов в пределах их полномочий (в т.ч. органов прокуратуры, Минюста и др.).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Также</w:t>
      </w:r>
      <w:r>
        <w:rPr>
          <w:bCs/>
          <w:sz w:val="28"/>
          <w:szCs w:val="28"/>
        </w:rPr>
        <w:t xml:space="preserve"> предусмотрена ответственность: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для</w:t>
      </w:r>
      <w:r>
        <w:rPr>
          <w:bCs/>
          <w:sz w:val="28"/>
          <w:szCs w:val="28"/>
        </w:rPr>
        <w:t xml:space="preserve"> организаций и общественных и религиозных объединений (при наличии в их деятельности признаков экстремизма либо в случае осуществления экстремистской деятельности такие организации могут быть ликвидированы, а деятельность объединений, не являющихся юридиче</w:t>
      </w:r>
      <w:r>
        <w:rPr>
          <w:bCs/>
          <w:sz w:val="28"/>
          <w:szCs w:val="28"/>
        </w:rPr>
        <w:t xml:space="preserve">скими лицами, - запрещена по решению суда на основании заявления Генерального прокурора Российской Фе</w:t>
      </w:r>
      <w:r>
        <w:rPr>
          <w:bCs/>
          <w:sz w:val="28"/>
          <w:szCs w:val="28"/>
        </w:rPr>
        <w:t xml:space="preserve">дерации или подчиненного ему соответствующего прокурора; кроме того, до момента рассмотрения судом указанного заявления деятельность общественного или религиозного объединения может быть приостановлена) (ст. ст. 9, 10 Закона о противодействии экстремизму).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Распоряжением Правительства РФ от 15.10.2007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 1420-р "Российская газета" определена в качестве официального периодического издания, осуществляющего публикацию перечня организаций, в отношении которых судом принято вступившее в законную силу реш</w:t>
      </w:r>
      <w:r>
        <w:rPr>
          <w:bCs/>
          <w:sz w:val="28"/>
          <w:szCs w:val="28"/>
        </w:rPr>
        <w:t xml:space="preserve">ение о ликвидации или запрете деятельности по основаниям, предусмотренным Законом о противодействии экстремизму, и перечня общественных и религиозных объединений, деятельность которых приостановлена в связи с осуществлением ими экстремистской деятельности;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СМИ (на основании ст. ст. 8, 11 Закона о противодействии экстремизму в случае распространения экстремистских материалов либо выявления фактов, свидетельствующих о наличии в его деятельности признаков экстремизма,</w:t>
      </w:r>
      <w:r>
        <w:rPr>
          <w:bCs/>
          <w:sz w:val="28"/>
          <w:szCs w:val="28"/>
        </w:rPr>
        <w:t xml:space="preserve"> либо в случае осуществления экстремистской деятельности, повлекшей за собой нарушение прав и свобод человека и гражданина, причинение вреда личности, здоровью граждан, окружающей среде, общественному порядку, общественной безопасности, собственности, зако</w:t>
      </w:r>
      <w:r>
        <w:rPr>
          <w:bCs/>
          <w:sz w:val="28"/>
          <w:szCs w:val="28"/>
        </w:rPr>
        <w:t xml:space="preserve">нным экономическим интересам физических и (или) юридических лиц, обществу и государству или создающей реальную угрозу причинения такого вреда, деятельность соответствующего СМИ может быть прекращена по решению суда на основании заявления уполномоченного го</w:t>
      </w:r>
      <w:r>
        <w:rPr>
          <w:bCs/>
          <w:sz w:val="28"/>
          <w:szCs w:val="28"/>
        </w:rPr>
        <w:t xml:space="preserve">сударственного органа, осуществившего регистрацию данного СМИ, либо федерального органа исполнительной власти в сфере печати, телерадиовещания и средств массовых коммуникаций, либо Генерального прокурора РФ или подчиненного ему соответствующего прокурора).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00" w:default="1">
    <w:name w:val="Default Paragraph Font"/>
    <w:uiPriority w:val="1"/>
    <w:semiHidden/>
    <w:unhideWhenUsed/>
  </w:style>
  <w:style w:type="numbering" w:styleId="801" w:default="1">
    <w:name w:val="No List"/>
    <w:uiPriority w:val="99"/>
    <w:semiHidden/>
    <w:unhideWhenUsed/>
  </w:style>
  <w:style w:type="table" w:styleId="8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2023-12-21T07:53:00Z</dcterms:created>
  <dcterms:modified xsi:type="dcterms:W3CDTF">2023-12-25T09:42:32Z</dcterms:modified>
  <cp:version>1048576</cp:version>
</cp:coreProperties>
</file>