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14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Обстоятельства, исключающие участие в производстве по уголовному делу защитника</w:t>
      </w:r>
      <w:r>
        <w:rPr>
          <w:b/>
          <w:bCs/>
          <w:sz w:val="28"/>
          <w:szCs w:val="28"/>
          <w:shd w:val="clear" w:color="auto" w:fill="ffffff"/>
        </w:rPr>
        <w:t xml:space="preserve">.</w:t>
      </w:r>
      <w:r>
        <w:rPr>
          <w:b/>
          <w:bCs/>
        </w:rPr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соответствии со ст. 51 Конституции Российск</w:t>
      </w:r>
      <w:r>
        <w:rPr>
          <w:bCs/>
          <w:sz w:val="28"/>
          <w:szCs w:val="28"/>
          <w:shd w:val="clear" w:color="auto" w:fill="ffffff"/>
        </w:rPr>
        <w:t xml:space="preserve">ой Федерации ст. 16 Уголовно-процессуального кодекса Российской Федерации (далее по тексту – УПК РФ) подозреваемому и обвиняемому обеспечивается право на защиту, которое они могут осуществлять лично либо с помощью защитника и (или) законного представителя.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Законом установлено, что в качестве защитников могут участвовать адвокаты, а также по решению суда допус</w:t>
      </w:r>
      <w:r>
        <w:rPr>
          <w:bCs/>
          <w:sz w:val="28"/>
          <w:szCs w:val="28"/>
          <w:shd w:val="clear" w:color="auto" w:fill="ffffff"/>
        </w:rPr>
        <w:t xml:space="preserve">каются в качестве защитника наряду с адвокатом (профессиональный защитник) один из близких родственников обвиняемого или иное лицо, о допуске которого ходатайствует обвиняемый. При производстве у мирового судьи указанное лицо допускается и вместо адвоката.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Адвокат может быть пр</w:t>
      </w:r>
      <w:r>
        <w:rPr>
          <w:bCs/>
          <w:sz w:val="28"/>
          <w:szCs w:val="28"/>
          <w:shd w:val="clear" w:color="auto" w:fill="ffffff"/>
        </w:rPr>
        <w:t xml:space="preserve">иглашен как самим подозреваемым (обвиняемым), так и законным представителем, а также другими лицами по его поручению или с согласия. При отсутствии возможности самостоятельно найти защитника, его участие обеспечивается дознавателем, следователем или судом.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Однако не все защитники могут быть допущены к участию, и на практике данный вопрос вызывает определенные сложности в применении положений уголовно-процессуального закона (ст. 72 УПК РФ).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связи с этим Верховный Суд Российской Федерации в своем постановлении Пленума от 30.06.2015 № 29 «О практике применения судами законодательства, обеспечивающего право на защиту в уголовном судопроизводстве» дал достаточно доступные разъяснения. 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Так, ст. 72 УПК РФ указывает, что защитник не вправе участвовать в</w:t>
      </w:r>
      <w:r>
        <w:rPr>
          <w:bCs/>
          <w:sz w:val="28"/>
          <w:szCs w:val="28"/>
          <w:shd w:val="clear" w:color="auto" w:fill="ffffff"/>
        </w:rPr>
        <w:t xml:space="preserve"> производстве по уголовному делу и подлежит отводу в случаях если: он ранее участвовал в производстве по данному уголовному делу в качестве судьи, прокурора, следователя, начальника органа дознания, начальника подразделения дознания, дознавателя, помощника</w:t>
      </w:r>
      <w:r>
        <w:rPr>
          <w:bCs/>
          <w:sz w:val="28"/>
          <w:szCs w:val="28"/>
          <w:shd w:val="clear" w:color="auto" w:fill="ffffff"/>
        </w:rPr>
        <w:t xml:space="preserve"> судьи, секретаря судебного заседания, свидетеля, эксперта, специалиста, переводчика или понятого; является близким родственником или родственником судьи, прокурора, следователя, начальника органа дознания, начальника подразде</w:t>
      </w:r>
      <w:r>
        <w:rPr>
          <w:bCs/>
          <w:sz w:val="28"/>
          <w:szCs w:val="28"/>
          <w:shd w:val="clear" w:color="auto" w:fill="ffffff"/>
        </w:rPr>
        <w:t xml:space="preserve">ления дознания, дознавателя, помощника судьи, секретаря судебного заседания, принимавшего принимающего участие в производстве по данному уголовному делу или лица, интересы которого противоречат интересам участника уголовного судопроизводства, заключившего </w:t>
      </w:r>
      <w:r>
        <w:rPr>
          <w:bCs/>
          <w:sz w:val="28"/>
          <w:szCs w:val="28"/>
          <w:shd w:val="clear" w:color="auto" w:fill="ffffff"/>
        </w:rPr>
        <w:t xml:space="preserve">с ним соглашение об оказании защиты; оказывает или ранее оказывал юридическую помощь лицу, интересы которого противоречат интересам защищаемого им подозреваемого, обвиняемого либо представляемого им потерпевшего, гражданского истца, гражданского ответчика.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Так, например, если между интересами обвиняемых, защиту которых осуществляет один адвокат, выявятся противоречия (признание обвинения одним лицом и оспаривание другим по одним и тем же эпизодам дела; изобличение одним обв</w:t>
      </w:r>
      <w:r>
        <w:rPr>
          <w:bCs/>
          <w:sz w:val="28"/>
          <w:szCs w:val="28"/>
          <w:shd w:val="clear" w:color="auto" w:fill="ffffff"/>
        </w:rPr>
        <w:t xml:space="preserve">иняемым другого и т.п.), то такой адвокат подлежит отводу. При этом данное правило распространяются и на те случаи, когда защитник оказывал свои услуги и до начала уголовного преследования, но по вопросам непосредственно связанным с рассматриваемым делом. 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При</w:t>
      </w:r>
      <w:r>
        <w:rPr>
          <w:bCs/>
          <w:sz w:val="28"/>
          <w:szCs w:val="28"/>
          <w:shd w:val="clear" w:color="auto" w:fill="ffffff"/>
        </w:rPr>
        <w:t xml:space="preserve"> наличии вышеперечисленных оснований лицо, осуществляющее расследование уголовного дела, а также суд самостоятельно или по ходатайству подозреваемого (обвиняемого) и иных участников уголовного судопроизводства обязаны принять меры к отводу такого адвоката.</w:t>
      </w:r>
      <w:r/>
    </w:p>
    <w:p>
      <w:pPr>
        <w:pStyle w:val="814"/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Наряду с этим, вопрос о зак</w:t>
      </w:r>
      <w:r>
        <w:rPr>
          <w:bCs/>
          <w:sz w:val="28"/>
          <w:szCs w:val="28"/>
          <w:shd w:val="clear" w:color="auto" w:fill="ffffff"/>
        </w:rPr>
        <w:t xml:space="preserve">онности отвода защитника может быть обжалован заинтересованными лицами руководителю органа расследования, прокурору или в суд (законность решения суда об отводе адвоката проверяется вышестоящей судебной инстанцией вместе с итоговым постановлением по делу. </w:t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4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, Знак Знак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UserStyle_0"/>
    <w:basedOn w:val="814"/>
    <w:next w:val="818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9">
    <w:name w:val=" Char Знак Знак Char Char"/>
    <w:basedOn w:val="814"/>
    <w:next w:val="819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0">
    <w:name w:val="Верхний колонтитул"/>
    <w:basedOn w:val="814"/>
    <w:next w:val="820"/>
    <w:link w:val="814"/>
    <w:pPr>
      <w:tabs>
        <w:tab w:val="center" w:pos="4677" w:leader="none"/>
        <w:tab w:val="right" w:pos="9355" w:leader="none"/>
      </w:tabs>
    </w:pPr>
  </w:style>
  <w:style w:type="paragraph" w:styleId="821">
    <w:name w:val="Нижний колонтитул"/>
    <w:basedOn w:val="814"/>
    <w:next w:val="821"/>
    <w:link w:val="814"/>
    <w:pPr>
      <w:tabs>
        <w:tab w:val="center" w:pos="4677" w:leader="none"/>
        <w:tab w:val="right" w:pos="9355" w:leader="none"/>
      </w:tabs>
    </w:pPr>
  </w:style>
  <w:style w:type="paragraph" w:styleId="822">
    <w:name w:val=" Знак Знак Знак Знак"/>
    <w:basedOn w:val="814"/>
    <w:next w:val="822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3">
    <w:name w:val="Сетка таблицы"/>
    <w:basedOn w:val="816"/>
    <w:next w:val="823"/>
    <w:link w:val="814"/>
    <w:tblPr/>
  </w:style>
  <w:style w:type="paragraph" w:styleId="824">
    <w:name w:val="Основной текст с отступом"/>
    <w:basedOn w:val="814"/>
    <w:next w:val="824"/>
    <w:link w:val="836"/>
    <w:pPr>
      <w:ind w:firstLine="720"/>
      <w:jc w:val="both"/>
    </w:pPr>
    <w:rPr>
      <w:sz w:val="28"/>
    </w:rPr>
  </w:style>
  <w:style w:type="paragraph" w:styleId="825">
    <w:name w:val=" Знак1"/>
    <w:basedOn w:val="814"/>
    <w:next w:val="825"/>
    <w:link w:val="814"/>
    <w:pPr>
      <w:spacing w:after="160" w:line="240" w:lineRule="exact"/>
    </w:pPr>
    <w:rPr>
      <w:rFonts w:ascii="Verdana" w:hAnsi="Verdana"/>
      <w:lang w:val="en-US" w:eastAsia="en-US"/>
    </w:rPr>
  </w:style>
  <w:style w:type="paragraph" w:styleId="826">
    <w:name w:val="Знак Знак Знак Знак Знак Знак Знак Знак"/>
    <w:basedOn w:val="814"/>
    <w:next w:val="826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7">
    <w:name w:val="Знак"/>
    <w:basedOn w:val="814"/>
    <w:next w:val="827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8">
    <w:name w:val="ConsPlusNormal"/>
    <w:next w:val="828"/>
    <w:link w:val="814"/>
    <w:rPr>
      <w:sz w:val="28"/>
      <w:szCs w:val="28"/>
      <w:lang w:val="ru-RU" w:eastAsia="ru-RU" w:bidi="ar-SA"/>
    </w:rPr>
  </w:style>
  <w:style w:type="paragraph" w:styleId="829">
    <w:name w:val="Текст выноски"/>
    <w:basedOn w:val="814"/>
    <w:next w:val="829"/>
    <w:link w:val="830"/>
    <w:rPr>
      <w:rFonts w:ascii="Segoe UI" w:hAnsi="Segoe UI" w:cs="Segoe UI"/>
      <w:sz w:val="18"/>
      <w:szCs w:val="18"/>
    </w:rPr>
  </w:style>
  <w:style w:type="character" w:styleId="830">
    <w:name w:val="Текст выноски Знак"/>
    <w:next w:val="830"/>
    <w:link w:val="829"/>
    <w:rPr>
      <w:rFonts w:ascii="Segoe UI" w:hAnsi="Segoe UI" w:cs="Segoe UI"/>
      <w:sz w:val="18"/>
      <w:szCs w:val="18"/>
    </w:rPr>
  </w:style>
  <w:style w:type="paragraph" w:styleId="831">
    <w:name w:val="Style6"/>
    <w:basedOn w:val="814"/>
    <w:next w:val="831"/>
    <w:link w:val="814"/>
    <w:pPr>
      <w:ind w:firstLine="701"/>
      <w:jc w:val="both"/>
      <w:spacing w:line="420" w:lineRule="exact"/>
      <w:widowControl w:val="off"/>
    </w:pPr>
  </w:style>
  <w:style w:type="character" w:styleId="832">
    <w:name w:val="Гиперссылка"/>
    <w:next w:val="832"/>
    <w:link w:val="814"/>
    <w:rPr>
      <w:color w:val="0000ff"/>
      <w:u w:val="single"/>
    </w:rPr>
  </w:style>
  <w:style w:type="character" w:styleId="833">
    <w:name w:val="Неразрешенное упоминание"/>
    <w:next w:val="833"/>
    <w:link w:val="814"/>
    <w:uiPriority w:val="99"/>
    <w:semiHidden/>
    <w:unhideWhenUsed/>
    <w:rPr>
      <w:color w:val="605e5c"/>
      <w:shd w:val="clear" w:color="auto" w:fill="e1dfdd"/>
    </w:rPr>
  </w:style>
  <w:style w:type="paragraph" w:styleId="834">
    <w:name w:val="Основной текст"/>
    <w:basedOn w:val="814"/>
    <w:next w:val="834"/>
    <w:link w:val="835"/>
    <w:pPr>
      <w:spacing w:after="120"/>
    </w:pPr>
  </w:style>
  <w:style w:type="character" w:styleId="835">
    <w:name w:val="Основной текст Знак"/>
    <w:next w:val="835"/>
    <w:link w:val="834"/>
    <w:rPr>
      <w:sz w:val="24"/>
      <w:szCs w:val="24"/>
    </w:rPr>
  </w:style>
  <w:style w:type="character" w:styleId="836">
    <w:name w:val="Основной текст с отступом Знак"/>
    <w:next w:val="836"/>
    <w:link w:val="824"/>
    <w:rPr>
      <w:sz w:val="28"/>
      <w:szCs w:val="24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2023-12-21T08:18:00Z</dcterms:created>
  <dcterms:modified xsi:type="dcterms:W3CDTF">2023-12-25T07:58:23Z</dcterms:modified>
  <cp:version>1048576</cp:version>
</cp:coreProperties>
</file>