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598"/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 xml:space="preserve">«</w:t>
      </w:r>
      <w:r>
        <w:rPr>
          <w:b/>
          <w:bCs/>
          <w:sz w:val="28"/>
          <w:szCs w:val="28"/>
        </w:rPr>
        <w:t xml:space="preserve">Савеловский межрайонный прокурор г. Москвы разъясняет</w:t>
      </w:r>
      <w:r>
        <w:rPr>
          <w:b/>
          <w:bCs/>
          <w:sz w:val="28"/>
          <w:szCs w:val="28"/>
        </w:rPr>
        <w:t xml:space="preserve">»</w:t>
      </w:r>
      <w:r>
        <w:rPr>
          <w:b/>
          <w:bCs/>
          <w:sz w:val="28"/>
          <w:szCs w:val="28"/>
        </w:rPr>
        <w:t xml:space="preserve">.</w:t>
      </w:r>
      <w:r>
        <w:rPr>
          <w:b/>
          <w:bCs/>
          <w:sz w:val="28"/>
          <w:szCs w:val="28"/>
        </w:rPr>
      </w:r>
      <w:r>
        <w:rPr>
          <w:b/>
          <w:bCs/>
        </w:rPr>
      </w:r>
    </w:p>
    <w:tbl>
      <w:tblPr>
        <w:tblW w:w="5000" w:type="pct"/>
        <w:tblInd w:w="0" w:type="dxa"/>
        <w:tblLayout w:type="autofit"/>
        <w:tblCellMar>
          <w:left w:w="15" w:type="dxa"/>
          <w:top w:w="15" w:type="dxa"/>
          <w:right w:w="15" w:type="dxa"/>
          <w:bottom w:w="15" w:type="dxa"/>
        </w:tblCellMar>
        <w:tblLook w:val="04A0" w:firstRow="1" w:lastRow="0" w:firstColumn="1" w:lastColumn="0" w:noHBand="0" w:noVBand="1"/>
      </w:tblPr>
      <w:tblGrid>
        <w:gridCol w:w="9355"/>
      </w:tblGrid>
      <w:tr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355" w:type="auto"/>
            <w:vAlign w:val="center"/>
            <w:textDirection w:val="lrTb"/>
            <w:noWrap w:val="false"/>
          </w:tcPr>
          <w:p>
            <w:pPr>
              <w:pStyle w:val="598"/>
              <w:ind w:firstLine="708"/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Условия, при которых возможно привлечение к уголовной ответственности за уклонение от уплаты налогов</w:t>
            </w:r>
            <w:r>
              <w:rPr>
                <w:b/>
                <w:bCs/>
              </w:rPr>
            </w:r>
          </w:p>
        </w:tc>
      </w:tr>
    </w:tbl>
    <w:p>
      <w:pPr>
        <w:ind w:firstLine="708"/>
        <w:jc w:val="both"/>
        <w:rPr>
          <w:sz w:val="28"/>
          <w:szCs w:val="28"/>
        </w:rPr>
      </w:pPr>
      <w:r>
        <w:rPr>
          <w:bCs/>
          <w:sz w:val="28"/>
          <w:szCs w:val="28"/>
          <w:highlight w:val="none"/>
        </w:rPr>
      </w:r>
      <w:r>
        <w:rPr>
          <w:bCs/>
          <w:sz w:val="28"/>
          <w:szCs w:val="28"/>
          <w:highlight w:val="none"/>
        </w:rPr>
      </w:r>
    </w:p>
    <w:p>
      <w:pPr>
        <w:pStyle w:val="598"/>
        <w:ind w:firstLine="708"/>
        <w:jc w:val="both"/>
        <w:rPr>
          <w:sz w:val="28"/>
          <w:szCs w:val="28"/>
          <w:highlight w:val="none"/>
        </w:rPr>
      </w:pPr>
      <w:r>
        <w:rPr>
          <w:bCs/>
          <w:sz w:val="28"/>
          <w:szCs w:val="28"/>
        </w:rPr>
        <w:t xml:space="preserve">Гражданина могут привлечь к ответственности за налоговые правонарушения, если он достиг возраста 16 лет. С этого же возраста возможно привлечение к уголовной ответственности за налоговые преступления (п. 2 ст. 107 НК РФ; ч. 1 ст. 20 УК РФ). </w:t>
      </w:r>
      <w:r/>
    </w:p>
    <w:p>
      <w:pPr>
        <w:pStyle w:val="598"/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Привлечение гражданина к уголовной ответственности за уклонение </w:t>
        <w:br w:type="textWrapping" w:clear="all"/>
        <w:t xml:space="preserve">от уплаты налогов возможно, если данное деяние совершено (ст. 198 УК РФ; </w:t>
        <w:br w:type="textWrapping" w:clear="all"/>
        <w:t xml:space="preserve">п. 5 Постановления Пленума Верховного Суда РФ от 26.11.2019 № 48): </w:t>
      </w:r>
      <w:r/>
    </w:p>
    <w:p>
      <w:pPr>
        <w:pStyle w:val="598"/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1)определенным способом - путем непредставления налоговой декларации или иных документов, подлежащих приложению к налоговой декларации </w:t>
        <w:br w:type="textWrapping" w:clear="all"/>
        <w:t xml:space="preserve">и служащих осно</w:t>
      </w:r>
      <w:r>
        <w:rPr>
          <w:bCs/>
          <w:sz w:val="28"/>
          <w:szCs w:val="28"/>
        </w:rPr>
        <w:t xml:space="preserve">ванием для исчисления и уплаты налогов, непредставление которых либо включение в которые заведомо ложных сведений может служить способом уклонения от уплаты налогов, либо путем указания в налоговой декларации или таких документах заведомо ложных сведений. </w:t>
      </w:r>
      <w:r/>
    </w:p>
    <w:p>
      <w:pPr>
        <w:pStyle w:val="598"/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2)в крупном или особо крупном размере.</w:t>
      </w:r>
      <w:r/>
    </w:p>
    <w:tbl>
      <w:tblPr>
        <w:tblpPr w:horzAnchor="text" w:tblpXSpec="left" w:vertAnchor="text" w:tblpY="1" w:leftFromText="180" w:topFromText="0" w:rightFromText="180" w:bottomFromText="0"/>
        <w:tblW w:w="0" w:type="auto"/>
        <w:tblCellSpacing w:w="15" w:type="dxa"/>
        <w:tblInd w:w="0" w:type="dxa"/>
        <w:tblLayout w:type="autofit"/>
        <w:tblCellMar>
          <w:left w:w="15" w:type="dxa"/>
          <w:top w:w="15" w:type="dxa"/>
          <w:right w:w="15" w:type="dxa"/>
          <w:bottom w:w="15" w:type="dxa"/>
        </w:tblCellMar>
        <w:tblLook w:val="04A0" w:firstRow="1" w:lastRow="0" w:firstColumn="1" w:lastColumn="0" w:noHBand="0" w:noVBand="1"/>
      </w:tblPr>
      <w:tblGrid>
        <w:gridCol w:w="96"/>
      </w:tblGrid>
      <w:tr>
        <w:trPr>
          <w:tblCellSpacing w:w="15" w:type="dxa"/>
        </w:trPr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96" w:type="auto"/>
            <w:vAlign w:val="center"/>
            <w:textDirection w:val="lrTb"/>
            <w:noWrap w:val="false"/>
          </w:tcPr>
          <w:p>
            <w:pPr>
              <w:pStyle w:val="598"/>
              <w:ind w:firstLine="708"/>
              <w:jc w:val="both"/>
              <w:rPr>
                <w:bCs/>
                <w:sz w:val="28"/>
                <w:szCs w:val="28"/>
                <w:u w:val="single"/>
              </w:rPr>
              <w:framePr w:hSpace="180" w:wrap="around" w:vAnchor="text" w:hAnchor="text" w:y="1"/>
            </w:pPr>
            <w:r>
              <w:rPr>
                <w:bCs/>
                <w:sz w:val="28"/>
                <w:szCs w:val="28"/>
                <w:u w:val="single"/>
              </w:rPr>
            </w:r>
            <w:r/>
          </w:p>
        </w:tc>
      </w:tr>
    </w:tbl>
    <w:p>
      <w:pPr>
        <w:pStyle w:val="598"/>
        <w:ind w:firstLine="708"/>
        <w:jc w:val="both"/>
      </w:pPr>
      <w:r>
        <w:rPr>
          <w:bCs/>
          <w:sz w:val="28"/>
          <w:szCs w:val="28"/>
        </w:rPr>
        <w:t xml:space="preserve">Крупным размером признается сумма налогов, превышающая за период в пределах трех финансовых лет подряд 2 700 000 руб. </w:t>
      </w:r>
      <w:r/>
    </w:p>
    <w:p>
      <w:pPr>
        <w:pStyle w:val="598"/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Особо крупным размером признается сумма налогов, превышающая за период в пределах трех финансовых лет подряд 13 500 000 руб. (п. 2 Примечаний к ст. 198 УК РФ). </w:t>
      </w:r>
      <w:r/>
    </w:p>
    <w:p>
      <w:pPr>
        <w:pStyle w:val="598"/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Привлечение к уголовной ответственности возможно, если действия </w:t>
      </w:r>
      <w:r>
        <w:rPr>
          <w:bCs/>
          <w:sz w:val="28"/>
          <w:szCs w:val="28"/>
        </w:rPr>
        <w:t xml:space="preserve">(бездействие) гражданина однозначно направлены именно на уклонение от уплаты налогов, то есть такие действия (бездействие) позволяют, например, скрыть объект налогообложения, незаконно уменьшить налоговую базу и, соответственно, сумму исчисленного налога. </w:t>
      </w:r>
      <w:r/>
    </w:p>
    <w:p>
      <w:pPr>
        <w:pStyle w:val="598"/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Если гражданин совершил такое правонарушение впервые и полностью уплатил сумму недоимки, а также пени и штрафы, то к уголовной ответственности его не привлекут (п. 3 Примечаний к ст. 198 УК РФ). </w:t>
      </w:r>
      <w:r/>
    </w:p>
    <w:p>
      <w:pPr>
        <w:pStyle w:val="598"/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Также гражданин будет освобожден от ответственности, в частности, </w:t>
        <w:br w:type="textWrapping" w:clear="all"/>
        <w:t xml:space="preserve">при выявлении факта совершения до 1 января 2022 г. </w:t>
      </w:r>
      <w:r>
        <w:rPr>
          <w:bCs/>
          <w:sz w:val="28"/>
          <w:szCs w:val="28"/>
        </w:rPr>
        <w:t xml:space="preserve">преступления, предусмотренного ст. 198 УК РФ, при условии, если гражданин добровольно задекларирует соответствующие активы, счета и вклады в соответствии </w:t>
        <w:br/>
        <w:t xml:space="preserve">с Федеральным законом от 08.06.2015 N 140-ФЗ (п. 3 ст. 76.1 УК РФ; п. 1 ч. 1 ст. 4 Закона № 140-ФЗ). </w:t>
      </w:r>
      <w:r/>
    </w:p>
    <w:p>
      <w:pPr>
        <w:pStyle w:val="608"/>
        <w:ind w:firstLine="0"/>
        <w:rPr>
          <w:szCs w:val="28"/>
        </w:rPr>
      </w:pPr>
      <w:r>
        <w:rPr>
          <w:szCs w:val="28"/>
        </w:rPr>
      </w:r>
      <w:r/>
    </w:p>
    <w:p>
      <w:pPr>
        <w:pStyle w:val="608"/>
        <w:ind w:firstLine="0"/>
        <w:rPr>
          <w:szCs w:val="28"/>
        </w:rPr>
      </w:pPr>
      <w:r>
        <w:rPr>
          <w:szCs w:val="28"/>
        </w:rPr>
      </w:r>
      <w:r/>
    </w:p>
    <w:p>
      <w:pPr>
        <w:pStyle w:val="608"/>
        <w:ind w:firstLine="0"/>
        <w:rPr>
          <w:szCs w:val="28"/>
        </w:rPr>
      </w:pPr>
      <w:r>
        <w:rPr>
          <w:szCs w:val="28"/>
        </w:rPr>
        <w:t xml:space="preserve">Межрайонный прокурор</w:t>
        <w:tab/>
        <w:tab/>
        <w:tab/>
        <w:tab/>
        <w:tab/>
        <w:tab/>
        <w:tab/>
        <w:t xml:space="preserve">М.А. Калгин </w:t>
      </w:r>
      <w:r>
        <w:rPr>
          <w:szCs w:val="28"/>
        </w:rPr>
      </w:r>
      <w:r/>
      <w:r>
        <w:rPr>
          <w:sz w:val="16"/>
          <w:szCs w:val="16"/>
        </w:rPr>
      </w:r>
      <w:r/>
      <w:r>
        <w:rPr>
          <w:szCs w:val="28"/>
        </w:rPr>
      </w:r>
    </w:p>
    <w:sectPr>
      <w:footnotePr/>
      <w:endnotePr/>
      <w:type w:val="nextPage"/>
      <w:pgSz w:w="11906" w:h="16838" w:orient="portrait"/>
      <w:pgMar w:top="1134" w:right="850" w:bottom="1134" w:left="1701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egoe UI">
    <w:panose1 w:val="020B0502040204020203"/>
  </w:font>
  <w:font w:name="Verdana">
    <w:panose1 w:val="020B0604030504040204"/>
  </w:font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598"/>
    <w:next w:val="598"/>
    <w:link w:val="1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4">
    <w:name w:val="Heading 1 Char"/>
    <w:basedOn w:val="11"/>
    <w:link w:val="13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598"/>
    <w:next w:val="598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11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598"/>
    <w:next w:val="598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11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598"/>
    <w:next w:val="598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11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598"/>
    <w:next w:val="598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11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598"/>
    <w:next w:val="598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11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598"/>
    <w:next w:val="598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11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598"/>
    <w:next w:val="598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11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598"/>
    <w:next w:val="598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11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1">
    <w:name w:val="List Paragraph"/>
    <w:basedOn w:val="598"/>
    <w:uiPriority w:val="34"/>
    <w:qFormat/>
    <w:pPr>
      <w:contextualSpacing/>
      <w:ind w:left="720"/>
    </w:pPr>
  </w:style>
  <w:style w:type="paragraph" w:styleId="33">
    <w:name w:val="No Spacing"/>
    <w:uiPriority w:val="1"/>
    <w:qFormat/>
    <w:pPr>
      <w:spacing w:before="0" w:after="0" w:line="240" w:lineRule="auto"/>
    </w:pPr>
  </w:style>
  <w:style w:type="paragraph" w:styleId="34">
    <w:name w:val="Title"/>
    <w:basedOn w:val="598"/>
    <w:next w:val="598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11"/>
    <w:link w:val="34"/>
    <w:uiPriority w:val="10"/>
    <w:rPr>
      <w:sz w:val="48"/>
      <w:szCs w:val="48"/>
    </w:rPr>
  </w:style>
  <w:style w:type="paragraph" w:styleId="36">
    <w:name w:val="Subtitle"/>
    <w:basedOn w:val="598"/>
    <w:next w:val="598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11"/>
    <w:link w:val="36"/>
    <w:uiPriority w:val="11"/>
    <w:rPr>
      <w:sz w:val="24"/>
      <w:szCs w:val="24"/>
    </w:rPr>
  </w:style>
  <w:style w:type="paragraph" w:styleId="38">
    <w:name w:val="Quote"/>
    <w:basedOn w:val="598"/>
    <w:next w:val="598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598"/>
    <w:next w:val="598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paragraph" w:styleId="42">
    <w:name w:val="Header"/>
    <w:basedOn w:val="598"/>
    <w:link w:val="4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3">
    <w:name w:val="Header Char"/>
    <w:basedOn w:val="11"/>
    <w:link w:val="42"/>
    <w:uiPriority w:val="99"/>
  </w:style>
  <w:style w:type="paragraph" w:styleId="44">
    <w:name w:val="Footer"/>
    <w:basedOn w:val="598"/>
    <w:link w:val="4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5">
    <w:name w:val="Footer Char"/>
    <w:basedOn w:val="11"/>
    <w:link w:val="44"/>
    <w:uiPriority w:val="99"/>
  </w:style>
  <w:style w:type="paragraph" w:styleId="46">
    <w:name w:val="Caption"/>
    <w:basedOn w:val="598"/>
    <w:next w:val="598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44"/>
    <w:uiPriority w:val="99"/>
  </w:style>
  <w:style w:type="table" w:styleId="48">
    <w:name w:val="Table Grid"/>
    <w:basedOn w:val="32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8">
    <w:name w:val="List Table 7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9">
    <w:name w:val="List Table 7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50">
    <w:name w:val="List Table 7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1">
    <w:name w:val="List Table 7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2">
    <w:name w:val="List Table 7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3">
    <w:name w:val="Lined - Accent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5">
    <w:name w:val="Lined - Accent 2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6">
    <w:name w:val="Lined - Accent 3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7">
    <w:name w:val="Lined - Accent 4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8">
    <w:name w:val="Lined - Accent 5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9">
    <w:name w:val="Lined - Accent 6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0">
    <w:name w:val="Bordered &amp; Lined - Accent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2">
    <w:name w:val="Bordered &amp; Lined - Accent 2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3">
    <w:name w:val="Bordered &amp; Lined - Accent 3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4">
    <w:name w:val="Bordered &amp; Lined - Accent 4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5">
    <w:name w:val="Bordered &amp; Lined - Accent 5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6">
    <w:name w:val="Bordered &amp; Lined - Accent 6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7">
    <w:name w:val="Bordered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4">
    <w:name w:val="Hyperlink"/>
    <w:uiPriority w:val="99"/>
    <w:unhideWhenUsed/>
    <w:rPr>
      <w:color w:val="0000ff" w:themeColor="hyperlink"/>
      <w:u w:val="single"/>
    </w:rPr>
  </w:style>
  <w:style w:type="paragraph" w:styleId="175">
    <w:name w:val="footnote text"/>
    <w:basedOn w:val="598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11"/>
    <w:uiPriority w:val="99"/>
    <w:unhideWhenUsed/>
    <w:rPr>
      <w:vertAlign w:val="superscript"/>
    </w:rPr>
  </w:style>
  <w:style w:type="paragraph" w:styleId="178">
    <w:name w:val="endnote text"/>
    <w:basedOn w:val="598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11"/>
    <w:uiPriority w:val="99"/>
    <w:semiHidden/>
    <w:unhideWhenUsed/>
    <w:rPr>
      <w:vertAlign w:val="superscript"/>
    </w:rPr>
  </w:style>
  <w:style w:type="paragraph" w:styleId="181">
    <w:name w:val="toc 1"/>
    <w:basedOn w:val="598"/>
    <w:next w:val="598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598"/>
    <w:next w:val="598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598"/>
    <w:next w:val="598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598"/>
    <w:next w:val="598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598"/>
    <w:next w:val="598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598"/>
    <w:next w:val="598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598"/>
    <w:next w:val="598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598"/>
    <w:next w:val="598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598"/>
    <w:next w:val="598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598"/>
    <w:next w:val="598"/>
    <w:uiPriority w:val="99"/>
    <w:unhideWhenUsed/>
    <w:pPr>
      <w:spacing w:after="0" w:afterAutospacing="0"/>
    </w:pPr>
  </w:style>
  <w:style w:type="paragraph" w:styleId="598" w:default="1">
    <w:name w:val="Normal"/>
    <w:next w:val="598"/>
    <w:link w:val="598"/>
    <w:qFormat/>
    <w:rPr>
      <w:sz w:val="24"/>
      <w:szCs w:val="24"/>
      <w:lang w:val="ru-RU" w:eastAsia="ru-RU" w:bidi="ar-SA"/>
    </w:rPr>
  </w:style>
  <w:style w:type="character" w:styleId="599">
    <w:name w:val="Основной шрифт абзаца, Знак Знак"/>
    <w:next w:val="599"/>
    <w:link w:val="598"/>
    <w:semiHidden/>
  </w:style>
  <w:style w:type="table" w:styleId="600">
    <w:name w:val="Обычная таблица"/>
    <w:next w:val="600"/>
    <w:link w:val="598"/>
    <w:semiHidden/>
    <w:tblPr/>
  </w:style>
  <w:style w:type="numbering" w:styleId="601">
    <w:name w:val="Нет списка"/>
    <w:next w:val="601"/>
    <w:link w:val="598"/>
    <w:semiHidden/>
  </w:style>
  <w:style w:type="paragraph" w:styleId="602">
    <w:name w:val="UserStyle_0"/>
    <w:basedOn w:val="598"/>
    <w:next w:val="602"/>
    <w:link w:val="59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603">
    <w:name w:val=" Char Знак Знак Char Char"/>
    <w:basedOn w:val="598"/>
    <w:next w:val="603"/>
    <w:link w:val="59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604">
    <w:name w:val="Верхний колонтитул"/>
    <w:basedOn w:val="598"/>
    <w:next w:val="604"/>
    <w:link w:val="598"/>
    <w:pPr>
      <w:tabs>
        <w:tab w:val="center" w:pos="4677" w:leader="none"/>
        <w:tab w:val="right" w:pos="9355" w:leader="none"/>
      </w:tabs>
    </w:pPr>
  </w:style>
  <w:style w:type="paragraph" w:styleId="605">
    <w:name w:val="Нижний колонтитул"/>
    <w:basedOn w:val="598"/>
    <w:next w:val="605"/>
    <w:link w:val="598"/>
    <w:pPr>
      <w:tabs>
        <w:tab w:val="center" w:pos="4677" w:leader="none"/>
        <w:tab w:val="right" w:pos="9355" w:leader="none"/>
      </w:tabs>
    </w:pPr>
  </w:style>
  <w:style w:type="paragraph" w:styleId="606">
    <w:name w:val=" Знак Знак Знак Знак"/>
    <w:basedOn w:val="598"/>
    <w:next w:val="606"/>
    <w:link w:val="59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table" w:styleId="607">
    <w:name w:val="Сетка таблицы"/>
    <w:basedOn w:val="600"/>
    <w:next w:val="607"/>
    <w:link w:val="598"/>
    <w:tblPr/>
  </w:style>
  <w:style w:type="paragraph" w:styleId="608">
    <w:name w:val="Основной текст с отступом"/>
    <w:basedOn w:val="598"/>
    <w:next w:val="608"/>
    <w:link w:val="620"/>
    <w:pPr>
      <w:ind w:firstLine="720"/>
      <w:jc w:val="both"/>
    </w:pPr>
    <w:rPr>
      <w:sz w:val="28"/>
    </w:rPr>
  </w:style>
  <w:style w:type="paragraph" w:styleId="609">
    <w:name w:val=" Знак1"/>
    <w:basedOn w:val="598"/>
    <w:next w:val="609"/>
    <w:link w:val="598"/>
    <w:pPr>
      <w:spacing w:after="160" w:line="240" w:lineRule="exact"/>
    </w:pPr>
    <w:rPr>
      <w:rFonts w:ascii="Verdana" w:hAnsi="Verdana"/>
      <w:lang w:val="en-US" w:eastAsia="en-US"/>
    </w:rPr>
  </w:style>
  <w:style w:type="paragraph" w:styleId="610">
    <w:name w:val="Знак Знак Знак Знак Знак Знак Знак Знак"/>
    <w:basedOn w:val="598"/>
    <w:next w:val="610"/>
    <w:link w:val="59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611">
    <w:name w:val="Знак"/>
    <w:basedOn w:val="598"/>
    <w:next w:val="611"/>
    <w:link w:val="59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612">
    <w:name w:val="ConsPlusNormal"/>
    <w:next w:val="612"/>
    <w:link w:val="598"/>
    <w:rPr>
      <w:sz w:val="28"/>
      <w:szCs w:val="28"/>
      <w:lang w:val="ru-RU" w:eastAsia="ru-RU" w:bidi="ar-SA"/>
    </w:rPr>
  </w:style>
  <w:style w:type="paragraph" w:styleId="613">
    <w:name w:val="Текст выноски"/>
    <w:basedOn w:val="598"/>
    <w:next w:val="613"/>
    <w:link w:val="614"/>
    <w:rPr>
      <w:rFonts w:ascii="Segoe UI" w:hAnsi="Segoe UI" w:cs="Segoe UI"/>
      <w:sz w:val="18"/>
      <w:szCs w:val="18"/>
    </w:rPr>
  </w:style>
  <w:style w:type="character" w:styleId="614">
    <w:name w:val="Текст выноски Знак"/>
    <w:next w:val="614"/>
    <w:link w:val="613"/>
    <w:rPr>
      <w:rFonts w:ascii="Segoe UI" w:hAnsi="Segoe UI" w:cs="Segoe UI"/>
      <w:sz w:val="18"/>
      <w:szCs w:val="18"/>
    </w:rPr>
  </w:style>
  <w:style w:type="paragraph" w:styleId="615">
    <w:name w:val="Style6"/>
    <w:basedOn w:val="598"/>
    <w:next w:val="615"/>
    <w:link w:val="598"/>
    <w:pPr>
      <w:ind w:firstLine="701"/>
      <w:jc w:val="both"/>
      <w:spacing w:line="420" w:lineRule="exact"/>
      <w:widowControl w:val="off"/>
    </w:pPr>
  </w:style>
  <w:style w:type="character" w:styleId="616">
    <w:name w:val="Гиперссылка"/>
    <w:next w:val="616"/>
    <w:link w:val="598"/>
    <w:rPr>
      <w:color w:val="0000ff"/>
      <w:u w:val="single"/>
    </w:rPr>
  </w:style>
  <w:style w:type="character" w:styleId="617">
    <w:name w:val="Неразрешенное упоминание"/>
    <w:next w:val="617"/>
    <w:link w:val="598"/>
    <w:uiPriority w:val="99"/>
    <w:semiHidden/>
    <w:unhideWhenUsed/>
    <w:rPr>
      <w:color w:val="605e5c"/>
      <w:shd w:val="clear" w:color="auto" w:fill="e1dfdd"/>
    </w:rPr>
  </w:style>
  <w:style w:type="paragraph" w:styleId="618">
    <w:name w:val="Основной текст"/>
    <w:basedOn w:val="598"/>
    <w:next w:val="618"/>
    <w:link w:val="619"/>
    <w:pPr>
      <w:spacing w:after="120"/>
    </w:pPr>
  </w:style>
  <w:style w:type="character" w:styleId="619">
    <w:name w:val="Основной текст Знак"/>
    <w:next w:val="619"/>
    <w:link w:val="618"/>
    <w:rPr>
      <w:sz w:val="24"/>
      <w:szCs w:val="24"/>
    </w:rPr>
  </w:style>
  <w:style w:type="character" w:styleId="620">
    <w:name w:val="Основной текст с отступом Знак"/>
    <w:next w:val="620"/>
    <w:link w:val="608"/>
    <w:rPr>
      <w:sz w:val="28"/>
      <w:szCs w:val="24"/>
    </w:rPr>
  </w:style>
  <w:style w:type="character" w:styleId="882" w:default="1">
    <w:name w:val="Default Paragraph Font"/>
    <w:uiPriority w:val="1"/>
    <w:semiHidden/>
    <w:unhideWhenUsed/>
  </w:style>
  <w:style w:type="numbering" w:styleId="883" w:default="1">
    <w:name w:val="No List"/>
    <w:uiPriority w:val="99"/>
    <w:semiHidden/>
    <w:unhideWhenUsed/>
  </w:style>
  <w:style w:type="table" w:styleId="884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Р7-Офис/7.3.0.0</Application>
  <Company>procrf</Company>
  <DocSecurity>0</DocSecurity>
  <HyperlinksChanged>false</HyperlinksChanged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Начальнику отдела –</dc:title>
  <dc:creator>user</dc:creator>
  <cp:revision>3</cp:revision>
  <dcterms:created xsi:type="dcterms:W3CDTF">2023-12-21T08:25:00Z</dcterms:created>
  <dcterms:modified xsi:type="dcterms:W3CDTF">2023-12-25T09:35:54Z</dcterms:modified>
  <cp:version>1048576</cp:version>
</cp:coreProperties>
</file>