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8"/>
        <w:ind w:firstLine="70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Савеловский межрайонный</w:t>
      </w:r>
      <w:r>
        <w:rPr>
          <w:b/>
          <w:bCs/>
          <w:sz w:val="26"/>
          <w:szCs w:val="26"/>
        </w:rPr>
        <w:t xml:space="preserve"> прокурор г. Москвы разъясняет</w:t>
      </w:r>
      <w:r>
        <w:rPr>
          <w:b/>
          <w:bCs/>
          <w:sz w:val="26"/>
          <w:szCs w:val="26"/>
        </w:rPr>
        <w:t xml:space="preserve">.</w:t>
      </w:r>
      <w:r>
        <w:rPr>
          <w:b/>
          <w:bCs/>
        </w:rPr>
      </w:r>
      <w:r/>
    </w:p>
    <w:tbl>
      <w:tblPr>
        <w:tblW w:w="5000" w:type="pct"/>
        <w:tblInd w:w="0" w:type="dxa"/>
        <w:tblLayout w:type="autofit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9355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55" w:type="auto"/>
            <w:vAlign w:val="center"/>
            <w:textDirection w:val="lrTb"/>
            <w:noWrap w:val="false"/>
          </w:tcPr>
          <w:p>
            <w:pPr>
              <w:pStyle w:val="818"/>
              <w:ind w:firstLine="708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Условия выселения из жилого помещения с предоставлением другого жилья по договору социального найма.</w:t>
            </w:r>
            <w:r>
              <w:rPr>
                <w:b/>
                <w:bCs/>
              </w:rPr>
            </w:r>
            <w:r/>
          </w:p>
        </w:tc>
      </w:tr>
    </w:tbl>
    <w:p>
      <w:pPr>
        <w:pStyle w:val="818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Выселить граждан из жилых помещений, предоста</w:t>
      </w:r>
      <w:r>
        <w:rPr>
          <w:bCs/>
          <w:sz w:val="26"/>
          <w:szCs w:val="26"/>
        </w:rPr>
        <w:t xml:space="preserve">вленных </w:t>
        <w:br/>
        <w:t xml:space="preserve">по договорам социального найма можно в судебном порядке в том числе </w:t>
        <w:br/>
        <w:t xml:space="preserve">с предоставлением других благоустроенных жилых помещений по договорам социального найма, с предоставлением других жилых помещений </w:t>
        <w:br/>
        <w:t xml:space="preserve">по договорам социального найма (ст. 84 ЖК РФ). </w:t>
      </w:r>
      <w:r/>
    </w:p>
    <w:p>
      <w:pPr>
        <w:pStyle w:val="818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Благоустроенные жилые помещения по договорам социального найма предоставляются в следующих случаях (ст. ст. 85 - 88 ЖК РФ; </w:t>
        <w:br w:type="textWrapping" w:clear="all"/>
        <w:t xml:space="preserve">п. 37 Постановления Пленума Верховного Суда РФ от 02.07.2009 № 14): </w:t>
      </w:r>
      <w:r/>
    </w:p>
    <w:p>
      <w:pPr>
        <w:pStyle w:val="818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1)дом, в котором находится жилое помещение, подлежит сносу; </w:t>
      </w:r>
      <w:r/>
    </w:p>
    <w:p>
      <w:pPr>
        <w:pStyle w:val="818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2)жилое помещение подлежит изъятию в связи с изъятием земельного участка, на котором расположено такое жилое помещение или расположен многоквартирный дом, в котором находится такое жилое помещение, </w:t>
        <w:br w:type="textWrapping" w:clear="all"/>
        <w:t xml:space="preserve">для государственных или муниципальных нужд; </w:t>
      </w:r>
      <w:r/>
    </w:p>
    <w:p>
      <w:pPr>
        <w:pStyle w:val="818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3)жилое помещение подлежит переводу в нежилое помещение; </w:t>
      </w:r>
      <w:r/>
    </w:p>
    <w:p>
      <w:pPr>
        <w:pStyle w:val="818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4)жилое помещение признано непригодным для проживания; </w:t>
      </w:r>
      <w:r/>
    </w:p>
    <w:p>
      <w:pPr>
        <w:pStyle w:val="818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5)в результате проведения капитального ремонта или реконструкции дома жилое помещение не может быть сохранено или его общая площадь уменьшится, в резул</w:t>
      </w:r>
      <w:r>
        <w:rPr>
          <w:bCs/>
          <w:sz w:val="26"/>
          <w:szCs w:val="26"/>
        </w:rPr>
        <w:t xml:space="preserve">ьтате чего проживающие в нем наниматель и члены </w:t>
        <w:br/>
        <w:t xml:space="preserve">его семьи могут быть признаны нуждающимися в жилых помещениях, </w:t>
        <w:br/>
        <w:t xml:space="preserve">либо увеличится, в результате чего общая площадь занимаемого жилого помещения на одного члена семьи существенно превысит норму предоставления; </w:t>
      </w:r>
      <w:r/>
    </w:p>
    <w:p>
      <w:pPr>
        <w:pStyle w:val="818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6)жилое помещение подлежит передаче религиозной организации </w:t>
        <w:br w:type="textWrapping" w:clear="all"/>
        <w:t xml:space="preserve">в соответствии с Законом от 30.11.2010 № 327-ФЗ. </w:t>
      </w:r>
      <w:r/>
    </w:p>
    <w:p>
      <w:pPr>
        <w:pStyle w:val="818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При этом в общем случае благоустроенным жилым помещением признается жилое помещение, благоустроенное применительно к условиям населенного пункта, где находится жилое помещение, из которого производится выселение (ч. 1 ст. 89 ЖК РФ). </w:t>
      </w:r>
      <w:r/>
    </w:p>
    <w:p>
      <w:pPr>
        <w:pStyle w:val="818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Благоустроенное жилое помещение должно соответствовать общим требованиям к жилому помещению, установленным П</w:t>
      </w:r>
      <w:r>
        <w:rPr>
          <w:bCs/>
          <w:sz w:val="26"/>
          <w:szCs w:val="26"/>
        </w:rPr>
        <w:t xml:space="preserve">оложением, утвержденным Постановлением Правительства РФ от 28.01.2006 № 47 (п. 37 Постановления Пленума Верховного Суда РФ № 14). </w:t>
      </w:r>
      <w:r/>
    </w:p>
    <w:p>
      <w:pPr>
        <w:pStyle w:val="818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Так, например, в</w:t>
      </w:r>
      <w:r>
        <w:rPr>
          <w:bCs/>
          <w:sz w:val="26"/>
          <w:szCs w:val="26"/>
        </w:rPr>
        <w:t xml:space="preserve"> общем случае жилое помещение должно быть обеспечено инженерными системами (электроосвещение, хозяйственно-питьевое и горячее водоснабжение, водоотведение, отопление и вентиляция, а в газифицированных районах также и газоснабжение) (п. 12 Положения № 47). </w:t>
      </w:r>
      <w:r/>
    </w:p>
    <w:p>
      <w:pPr>
        <w:pStyle w:val="818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Также предоставляемое жилое помещение в общем случае должно быть равнозначным по общей площади ранее занимаемому жилому помещению (ч. 1 ст. 89 ЖК РФ; п. 37 Постановления Пленума Верховного Суда РФ № 14). </w:t>
      </w:r>
      <w:r/>
    </w:p>
    <w:p>
      <w:pPr>
        <w:pStyle w:val="818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Другие жилые помещения по договорам социального найма предоставляются при выселении по решению суда в следующих случаях </w:t>
        <w:br w:type="textWrapping" w:clear="all"/>
        <w:t xml:space="preserve">(ст. 90 ЖК РФ): </w:t>
      </w:r>
      <w:r/>
    </w:p>
    <w:p>
      <w:pPr>
        <w:pStyle w:val="818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1)если наниматель и проживающие совместно с ним члены его семьи </w:t>
        <w:br w:type="textWrapping" w:clear="all"/>
        <w:t xml:space="preserve">в течение более шести месяцев без уважительных причин не вносят плату </w:t>
        <w:br w:type="textWrapping" w:clear="all"/>
        <w:t xml:space="preserve">за жилое помещение и коммунальные услуги; </w:t>
      </w:r>
      <w:r/>
    </w:p>
    <w:p>
      <w:pPr>
        <w:pStyle w:val="818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2)если совместное проживание граждан, лишенных родительских прав, с детьми, в отношении которых они лишены родительских прав, признано суд</w:t>
      </w:r>
      <w:r>
        <w:rPr>
          <w:bCs/>
          <w:sz w:val="26"/>
          <w:szCs w:val="26"/>
        </w:rPr>
        <w:t xml:space="preserve">ом невозможным и если законом субъекта РФ предусмотрено выселение этих граждан в судебном порядке по требованию законных представителей несовершеннолетних, органа опеки и попечительства или прокурора в другое жилое помещение по договору социального найма. </w:t>
      </w:r>
      <w:r/>
    </w:p>
    <w:p>
      <w:pPr>
        <w:pStyle w:val="818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Размер предоставляемого по договор</w:t>
      </w:r>
      <w:r>
        <w:rPr>
          <w:bCs/>
          <w:sz w:val="26"/>
          <w:szCs w:val="26"/>
        </w:rPr>
        <w:t xml:space="preserve">у социального найма другого жилого помещения должен соответствовать размеру жилого помещения, установленному для вселения граждан в общежитие. Предоставляемое другое жилое помещение должно быть изолированным, пригодным для постоянного проживания, быть по р</w:t>
      </w:r>
      <w:r>
        <w:rPr>
          <w:bCs/>
          <w:sz w:val="26"/>
          <w:szCs w:val="26"/>
        </w:rPr>
        <w:t xml:space="preserve">азмеру не менее шести кв. м жилой площади на одного человека, располагаться в том же населенном пункте и относиться к жилищному фонду социального использования (ч. 2 ст. 15, ст. 90, ч. 1 ст. 105 ЖК РФ; п. 38 Постановления Пленума Верховного Суда РФ № 14). </w:t>
      </w:r>
      <w:r>
        <w:rPr>
          <w:bCs/>
          <w:sz w:val="26"/>
          <w:szCs w:val="26"/>
        </w:rPr>
      </w:r>
      <w:r/>
    </w:p>
    <w:p>
      <w:pPr>
        <w:pStyle w:val="828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8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8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>
        <w:rPr>
          <w:szCs w:val="28"/>
        </w:rPr>
      </w:r>
      <w:r/>
    </w:p>
    <w:p>
      <w:pPr>
        <w:pStyle w:val="828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8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8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8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sectPr>
      <w:footnotePr/>
      <w:endnotePr/>
      <w:type w:val="nextPage"/>
      <w:pgSz w:w="11906" w:h="16838" w:orient="portrait"/>
      <w:pgMar w:top="1134" w:right="850" w:bottom="709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Calibri">
    <w:panose1 w:val="020F0502020204030204"/>
  </w:font>
  <w:font w:name="Segoe UI">
    <w:panose1 w:val="020B0502040204020203"/>
  </w:font>
  <w:font w:name="Verdan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18"/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18"/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18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18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18"/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18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18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18"/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18"/>
        <w:ind w:left="7189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18"/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18"/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18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18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18"/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18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18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18"/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18"/>
        <w:ind w:left="7189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0">
    <w:name w:val="Heading 1"/>
    <w:basedOn w:val="818"/>
    <w:next w:val="818"/>
    <w:link w:val="64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41">
    <w:name w:val="Heading 1 Char"/>
    <w:link w:val="640"/>
    <w:uiPriority w:val="9"/>
    <w:rPr>
      <w:rFonts w:ascii="Arial" w:hAnsi="Arial" w:eastAsia="Arial" w:cs="Arial"/>
      <w:sz w:val="40"/>
      <w:szCs w:val="40"/>
    </w:rPr>
  </w:style>
  <w:style w:type="paragraph" w:styleId="642">
    <w:name w:val="Heading 2"/>
    <w:basedOn w:val="818"/>
    <w:next w:val="818"/>
    <w:link w:val="64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3">
    <w:name w:val="Heading 2 Char"/>
    <w:link w:val="642"/>
    <w:uiPriority w:val="9"/>
    <w:rPr>
      <w:rFonts w:ascii="Arial" w:hAnsi="Arial" w:eastAsia="Arial" w:cs="Arial"/>
      <w:sz w:val="34"/>
    </w:rPr>
  </w:style>
  <w:style w:type="paragraph" w:styleId="644">
    <w:name w:val="Heading 3"/>
    <w:basedOn w:val="818"/>
    <w:next w:val="818"/>
    <w:link w:val="64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5">
    <w:name w:val="Heading 3 Char"/>
    <w:link w:val="644"/>
    <w:uiPriority w:val="9"/>
    <w:rPr>
      <w:rFonts w:ascii="Arial" w:hAnsi="Arial" w:eastAsia="Arial" w:cs="Arial"/>
      <w:sz w:val="30"/>
      <w:szCs w:val="30"/>
    </w:rPr>
  </w:style>
  <w:style w:type="paragraph" w:styleId="646">
    <w:name w:val="Heading 4"/>
    <w:basedOn w:val="818"/>
    <w:next w:val="818"/>
    <w:link w:val="64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7">
    <w:name w:val="Heading 4 Char"/>
    <w:link w:val="646"/>
    <w:uiPriority w:val="9"/>
    <w:rPr>
      <w:rFonts w:ascii="Arial" w:hAnsi="Arial" w:eastAsia="Arial" w:cs="Arial"/>
      <w:b/>
      <w:bCs/>
      <w:sz w:val="26"/>
      <w:szCs w:val="26"/>
    </w:rPr>
  </w:style>
  <w:style w:type="paragraph" w:styleId="648">
    <w:name w:val="Heading 5"/>
    <w:basedOn w:val="818"/>
    <w:next w:val="818"/>
    <w:link w:val="64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9">
    <w:name w:val="Heading 5 Char"/>
    <w:link w:val="648"/>
    <w:uiPriority w:val="9"/>
    <w:rPr>
      <w:rFonts w:ascii="Arial" w:hAnsi="Arial" w:eastAsia="Arial" w:cs="Arial"/>
      <w:b/>
      <w:bCs/>
      <w:sz w:val="24"/>
      <w:szCs w:val="24"/>
    </w:rPr>
  </w:style>
  <w:style w:type="paragraph" w:styleId="650">
    <w:name w:val="Heading 6"/>
    <w:basedOn w:val="818"/>
    <w:next w:val="818"/>
    <w:link w:val="65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51">
    <w:name w:val="Heading 6 Char"/>
    <w:link w:val="650"/>
    <w:uiPriority w:val="9"/>
    <w:rPr>
      <w:rFonts w:ascii="Arial" w:hAnsi="Arial" w:eastAsia="Arial" w:cs="Arial"/>
      <w:b/>
      <w:bCs/>
      <w:sz w:val="22"/>
      <w:szCs w:val="22"/>
    </w:rPr>
  </w:style>
  <w:style w:type="paragraph" w:styleId="652">
    <w:name w:val="Heading 7"/>
    <w:basedOn w:val="818"/>
    <w:next w:val="818"/>
    <w:link w:val="65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3">
    <w:name w:val="Heading 7 Char"/>
    <w:link w:val="65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4">
    <w:name w:val="Heading 8"/>
    <w:basedOn w:val="818"/>
    <w:next w:val="818"/>
    <w:link w:val="6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5">
    <w:name w:val="Heading 8 Char"/>
    <w:link w:val="654"/>
    <w:uiPriority w:val="9"/>
    <w:rPr>
      <w:rFonts w:ascii="Arial" w:hAnsi="Arial" w:eastAsia="Arial" w:cs="Arial"/>
      <w:i/>
      <w:iCs/>
      <w:sz w:val="22"/>
      <w:szCs w:val="22"/>
    </w:rPr>
  </w:style>
  <w:style w:type="paragraph" w:styleId="656">
    <w:name w:val="Heading 9"/>
    <w:basedOn w:val="818"/>
    <w:next w:val="818"/>
    <w:link w:val="65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7">
    <w:name w:val="Heading 9 Char"/>
    <w:link w:val="656"/>
    <w:uiPriority w:val="9"/>
    <w:rPr>
      <w:rFonts w:ascii="Arial" w:hAnsi="Arial" w:eastAsia="Arial" w:cs="Arial"/>
      <w:i/>
      <w:iCs/>
      <w:sz w:val="21"/>
      <w:szCs w:val="21"/>
    </w:rPr>
  </w:style>
  <w:style w:type="paragraph" w:styleId="658">
    <w:name w:val="List Paragraph"/>
    <w:basedOn w:val="818"/>
    <w:uiPriority w:val="34"/>
    <w:qFormat/>
    <w:pPr>
      <w:contextualSpacing/>
      <w:ind w:left="720"/>
    </w:pPr>
  </w:style>
  <w:style w:type="paragraph" w:styleId="659">
    <w:name w:val="No Spacing"/>
    <w:uiPriority w:val="1"/>
    <w:qFormat/>
    <w:pPr>
      <w:spacing w:before="0" w:after="0" w:line="240" w:lineRule="auto"/>
    </w:pPr>
  </w:style>
  <w:style w:type="paragraph" w:styleId="660">
    <w:name w:val="Title"/>
    <w:basedOn w:val="818"/>
    <w:next w:val="818"/>
    <w:link w:val="66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61">
    <w:name w:val="Title Char"/>
    <w:link w:val="660"/>
    <w:uiPriority w:val="10"/>
    <w:rPr>
      <w:sz w:val="48"/>
      <w:szCs w:val="48"/>
    </w:rPr>
  </w:style>
  <w:style w:type="paragraph" w:styleId="662">
    <w:name w:val="Subtitle"/>
    <w:basedOn w:val="818"/>
    <w:next w:val="818"/>
    <w:link w:val="663"/>
    <w:uiPriority w:val="11"/>
    <w:qFormat/>
    <w:pPr>
      <w:spacing w:before="200" w:after="200"/>
    </w:pPr>
    <w:rPr>
      <w:sz w:val="24"/>
      <w:szCs w:val="24"/>
    </w:rPr>
  </w:style>
  <w:style w:type="character" w:styleId="663">
    <w:name w:val="Subtitle Char"/>
    <w:link w:val="662"/>
    <w:uiPriority w:val="11"/>
    <w:rPr>
      <w:sz w:val="24"/>
      <w:szCs w:val="24"/>
    </w:rPr>
  </w:style>
  <w:style w:type="paragraph" w:styleId="664">
    <w:name w:val="Quote"/>
    <w:basedOn w:val="818"/>
    <w:next w:val="818"/>
    <w:link w:val="665"/>
    <w:uiPriority w:val="29"/>
    <w:qFormat/>
    <w:pPr>
      <w:ind w:left="720" w:right="720"/>
    </w:pPr>
    <w:rPr>
      <w:i/>
    </w:rPr>
  </w:style>
  <w:style w:type="character" w:styleId="665">
    <w:name w:val="Quote Char"/>
    <w:link w:val="664"/>
    <w:uiPriority w:val="29"/>
    <w:rPr>
      <w:i/>
    </w:rPr>
  </w:style>
  <w:style w:type="paragraph" w:styleId="666">
    <w:name w:val="Intense Quote"/>
    <w:basedOn w:val="818"/>
    <w:next w:val="818"/>
    <w:link w:val="66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7">
    <w:name w:val="Intense Quote Char"/>
    <w:link w:val="666"/>
    <w:uiPriority w:val="30"/>
    <w:rPr>
      <w:i/>
    </w:rPr>
  </w:style>
  <w:style w:type="paragraph" w:styleId="668">
    <w:name w:val="Header"/>
    <w:basedOn w:val="818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>
    <w:name w:val="Header Char"/>
    <w:link w:val="668"/>
    <w:uiPriority w:val="99"/>
  </w:style>
  <w:style w:type="paragraph" w:styleId="670">
    <w:name w:val="Footer"/>
    <w:basedOn w:val="818"/>
    <w:link w:val="67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1">
    <w:name w:val="Footer Char"/>
    <w:link w:val="670"/>
    <w:uiPriority w:val="99"/>
  </w:style>
  <w:style w:type="paragraph" w:styleId="672">
    <w:name w:val="Caption"/>
    <w:basedOn w:val="818"/>
    <w:next w:val="81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3">
    <w:name w:val="Caption Char"/>
    <w:basedOn w:val="672"/>
    <w:link w:val="670"/>
    <w:uiPriority w:val="99"/>
  </w:style>
  <w:style w:type="table" w:styleId="67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1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00">
    <w:name w:val="Hyperlink"/>
    <w:uiPriority w:val="99"/>
    <w:unhideWhenUsed/>
    <w:rPr>
      <w:color w:val="0000ff" w:themeColor="hyperlink"/>
      <w:u w:val="single"/>
    </w:rPr>
  </w:style>
  <w:style w:type="paragraph" w:styleId="801">
    <w:name w:val="footnote text"/>
    <w:basedOn w:val="818"/>
    <w:link w:val="802"/>
    <w:uiPriority w:val="99"/>
    <w:semiHidden/>
    <w:unhideWhenUsed/>
    <w:pPr>
      <w:spacing w:after="40" w:line="240" w:lineRule="auto"/>
    </w:pPr>
    <w:rPr>
      <w:sz w:val="18"/>
    </w:rPr>
  </w:style>
  <w:style w:type="character" w:styleId="802">
    <w:name w:val="Footnote Text Char"/>
    <w:link w:val="801"/>
    <w:uiPriority w:val="99"/>
    <w:rPr>
      <w:sz w:val="18"/>
    </w:rPr>
  </w:style>
  <w:style w:type="character" w:styleId="803">
    <w:name w:val="footnote reference"/>
    <w:uiPriority w:val="99"/>
    <w:unhideWhenUsed/>
    <w:rPr>
      <w:vertAlign w:val="superscript"/>
    </w:rPr>
  </w:style>
  <w:style w:type="paragraph" w:styleId="804">
    <w:name w:val="endnote text"/>
    <w:basedOn w:val="818"/>
    <w:link w:val="805"/>
    <w:uiPriority w:val="99"/>
    <w:semiHidden/>
    <w:unhideWhenUsed/>
    <w:pPr>
      <w:spacing w:after="0" w:line="240" w:lineRule="auto"/>
    </w:pPr>
    <w:rPr>
      <w:sz w:val="20"/>
    </w:rPr>
  </w:style>
  <w:style w:type="character" w:styleId="805">
    <w:name w:val="Endnote Text Char"/>
    <w:link w:val="804"/>
    <w:uiPriority w:val="99"/>
    <w:rPr>
      <w:sz w:val="20"/>
    </w:rPr>
  </w:style>
  <w:style w:type="character" w:styleId="806">
    <w:name w:val="endnote reference"/>
    <w:uiPriority w:val="99"/>
    <w:semiHidden/>
    <w:unhideWhenUsed/>
    <w:rPr>
      <w:vertAlign w:val="superscript"/>
    </w:rPr>
  </w:style>
  <w:style w:type="paragraph" w:styleId="807">
    <w:name w:val="toc 1"/>
    <w:basedOn w:val="818"/>
    <w:next w:val="818"/>
    <w:uiPriority w:val="39"/>
    <w:unhideWhenUsed/>
    <w:pPr>
      <w:ind w:left="0" w:right="0" w:firstLine="0"/>
      <w:spacing w:after="57"/>
    </w:pPr>
  </w:style>
  <w:style w:type="paragraph" w:styleId="808">
    <w:name w:val="toc 2"/>
    <w:basedOn w:val="818"/>
    <w:next w:val="818"/>
    <w:uiPriority w:val="39"/>
    <w:unhideWhenUsed/>
    <w:pPr>
      <w:ind w:left="283" w:right="0" w:firstLine="0"/>
      <w:spacing w:after="57"/>
    </w:pPr>
  </w:style>
  <w:style w:type="paragraph" w:styleId="809">
    <w:name w:val="toc 3"/>
    <w:basedOn w:val="818"/>
    <w:next w:val="818"/>
    <w:uiPriority w:val="39"/>
    <w:unhideWhenUsed/>
    <w:pPr>
      <w:ind w:left="567" w:right="0" w:firstLine="0"/>
      <w:spacing w:after="57"/>
    </w:pPr>
  </w:style>
  <w:style w:type="paragraph" w:styleId="810">
    <w:name w:val="toc 4"/>
    <w:basedOn w:val="818"/>
    <w:next w:val="818"/>
    <w:uiPriority w:val="39"/>
    <w:unhideWhenUsed/>
    <w:pPr>
      <w:ind w:left="850" w:right="0" w:firstLine="0"/>
      <w:spacing w:after="57"/>
    </w:pPr>
  </w:style>
  <w:style w:type="paragraph" w:styleId="811">
    <w:name w:val="toc 5"/>
    <w:basedOn w:val="818"/>
    <w:next w:val="818"/>
    <w:uiPriority w:val="39"/>
    <w:unhideWhenUsed/>
    <w:pPr>
      <w:ind w:left="1134" w:right="0" w:firstLine="0"/>
      <w:spacing w:after="57"/>
    </w:pPr>
  </w:style>
  <w:style w:type="paragraph" w:styleId="812">
    <w:name w:val="toc 6"/>
    <w:basedOn w:val="818"/>
    <w:next w:val="818"/>
    <w:uiPriority w:val="39"/>
    <w:unhideWhenUsed/>
    <w:pPr>
      <w:ind w:left="1417" w:right="0" w:firstLine="0"/>
      <w:spacing w:after="57"/>
    </w:pPr>
  </w:style>
  <w:style w:type="paragraph" w:styleId="813">
    <w:name w:val="toc 7"/>
    <w:basedOn w:val="818"/>
    <w:next w:val="818"/>
    <w:uiPriority w:val="39"/>
    <w:unhideWhenUsed/>
    <w:pPr>
      <w:ind w:left="1701" w:right="0" w:firstLine="0"/>
      <w:spacing w:after="57"/>
    </w:pPr>
  </w:style>
  <w:style w:type="paragraph" w:styleId="814">
    <w:name w:val="toc 8"/>
    <w:basedOn w:val="818"/>
    <w:next w:val="818"/>
    <w:uiPriority w:val="39"/>
    <w:unhideWhenUsed/>
    <w:pPr>
      <w:ind w:left="1984" w:right="0" w:firstLine="0"/>
      <w:spacing w:after="57"/>
    </w:pPr>
  </w:style>
  <w:style w:type="paragraph" w:styleId="815">
    <w:name w:val="toc 9"/>
    <w:basedOn w:val="818"/>
    <w:next w:val="818"/>
    <w:uiPriority w:val="39"/>
    <w:unhideWhenUsed/>
    <w:pPr>
      <w:ind w:left="2268" w:right="0" w:firstLine="0"/>
      <w:spacing w:after="57"/>
    </w:pPr>
  </w:style>
  <w:style w:type="paragraph" w:styleId="816">
    <w:name w:val="TOC Heading"/>
    <w:uiPriority w:val="39"/>
    <w:unhideWhenUsed/>
  </w:style>
  <w:style w:type="paragraph" w:styleId="817">
    <w:name w:val="table of figures"/>
    <w:basedOn w:val="818"/>
    <w:next w:val="818"/>
    <w:uiPriority w:val="99"/>
    <w:unhideWhenUsed/>
    <w:pPr>
      <w:spacing w:after="0" w:afterAutospacing="0"/>
    </w:pPr>
  </w:style>
  <w:style w:type="paragraph" w:styleId="818" w:default="1">
    <w:name w:val="Normal"/>
    <w:next w:val="818"/>
    <w:link w:val="818"/>
    <w:qFormat/>
    <w:rPr>
      <w:sz w:val="24"/>
      <w:szCs w:val="24"/>
      <w:lang w:val="ru-RU" w:eastAsia="ru-RU" w:bidi="ar-SA"/>
    </w:rPr>
  </w:style>
  <w:style w:type="character" w:styleId="819">
    <w:name w:val="Основной шрифт абзаца, Знак Знак"/>
    <w:next w:val="819"/>
    <w:link w:val="818"/>
    <w:semiHidden/>
  </w:style>
  <w:style w:type="table" w:styleId="820">
    <w:name w:val="Обычная таблица"/>
    <w:next w:val="820"/>
    <w:link w:val="818"/>
    <w:semiHidden/>
    <w:tblPr/>
  </w:style>
  <w:style w:type="numbering" w:styleId="821">
    <w:name w:val="Нет списка"/>
    <w:next w:val="821"/>
    <w:link w:val="818"/>
    <w:semiHidden/>
  </w:style>
  <w:style w:type="paragraph" w:styleId="822">
    <w:name w:val="UserStyle_0"/>
    <w:basedOn w:val="818"/>
    <w:next w:val="822"/>
    <w:link w:val="8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23">
    <w:name w:val=" Char Знак Знак Char Char"/>
    <w:basedOn w:val="818"/>
    <w:next w:val="823"/>
    <w:link w:val="8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24">
    <w:name w:val="Верхний колонтитул"/>
    <w:basedOn w:val="818"/>
    <w:next w:val="824"/>
    <w:link w:val="818"/>
    <w:pPr>
      <w:tabs>
        <w:tab w:val="center" w:pos="4677" w:leader="none"/>
        <w:tab w:val="right" w:pos="9355" w:leader="none"/>
      </w:tabs>
    </w:pPr>
  </w:style>
  <w:style w:type="paragraph" w:styleId="825">
    <w:name w:val="Нижний колонтитул"/>
    <w:basedOn w:val="818"/>
    <w:next w:val="825"/>
    <w:link w:val="818"/>
    <w:pPr>
      <w:tabs>
        <w:tab w:val="center" w:pos="4677" w:leader="none"/>
        <w:tab w:val="right" w:pos="9355" w:leader="none"/>
      </w:tabs>
    </w:pPr>
  </w:style>
  <w:style w:type="paragraph" w:styleId="826">
    <w:name w:val=" Знак Знак Знак Знак"/>
    <w:basedOn w:val="818"/>
    <w:next w:val="826"/>
    <w:link w:val="8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827">
    <w:name w:val="Сетка таблицы"/>
    <w:basedOn w:val="820"/>
    <w:next w:val="827"/>
    <w:link w:val="818"/>
    <w:tblPr/>
  </w:style>
  <w:style w:type="paragraph" w:styleId="828">
    <w:name w:val="Основной текст с отступом"/>
    <w:basedOn w:val="818"/>
    <w:next w:val="828"/>
    <w:link w:val="840"/>
    <w:pPr>
      <w:ind w:firstLine="720"/>
      <w:jc w:val="both"/>
    </w:pPr>
    <w:rPr>
      <w:sz w:val="28"/>
    </w:rPr>
  </w:style>
  <w:style w:type="paragraph" w:styleId="829">
    <w:name w:val=" Знак1"/>
    <w:basedOn w:val="818"/>
    <w:next w:val="829"/>
    <w:link w:val="818"/>
    <w:pPr>
      <w:spacing w:after="160" w:line="240" w:lineRule="exact"/>
    </w:pPr>
    <w:rPr>
      <w:rFonts w:ascii="Verdana" w:hAnsi="Verdana"/>
      <w:lang w:val="en-US" w:eastAsia="en-US"/>
    </w:rPr>
  </w:style>
  <w:style w:type="paragraph" w:styleId="830">
    <w:name w:val="Знак Знак Знак Знак Знак Знак Знак Знак"/>
    <w:basedOn w:val="818"/>
    <w:next w:val="830"/>
    <w:link w:val="8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31">
    <w:name w:val="Знак"/>
    <w:basedOn w:val="818"/>
    <w:next w:val="831"/>
    <w:link w:val="8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32">
    <w:name w:val="ConsPlusNormal"/>
    <w:next w:val="832"/>
    <w:link w:val="818"/>
    <w:rPr>
      <w:sz w:val="28"/>
      <w:szCs w:val="28"/>
      <w:lang w:val="ru-RU" w:eastAsia="ru-RU" w:bidi="ar-SA"/>
    </w:rPr>
  </w:style>
  <w:style w:type="paragraph" w:styleId="833">
    <w:name w:val="Текст выноски"/>
    <w:basedOn w:val="818"/>
    <w:next w:val="833"/>
    <w:link w:val="834"/>
    <w:rPr>
      <w:rFonts w:ascii="Segoe UI" w:hAnsi="Segoe UI" w:cs="Segoe UI"/>
      <w:sz w:val="18"/>
      <w:szCs w:val="18"/>
    </w:rPr>
  </w:style>
  <w:style w:type="character" w:styleId="834">
    <w:name w:val="Текст выноски Знак"/>
    <w:next w:val="834"/>
    <w:link w:val="833"/>
    <w:rPr>
      <w:rFonts w:ascii="Segoe UI" w:hAnsi="Segoe UI" w:cs="Segoe UI"/>
      <w:sz w:val="18"/>
      <w:szCs w:val="18"/>
    </w:rPr>
  </w:style>
  <w:style w:type="paragraph" w:styleId="835">
    <w:name w:val="Style6"/>
    <w:basedOn w:val="818"/>
    <w:next w:val="835"/>
    <w:link w:val="818"/>
    <w:pPr>
      <w:ind w:firstLine="701"/>
      <w:jc w:val="both"/>
      <w:spacing w:line="420" w:lineRule="exact"/>
      <w:widowControl w:val="off"/>
    </w:pPr>
  </w:style>
  <w:style w:type="character" w:styleId="836">
    <w:name w:val="Гиперссылка"/>
    <w:next w:val="836"/>
    <w:link w:val="818"/>
    <w:rPr>
      <w:color w:val="0000ff"/>
      <w:u w:val="single"/>
    </w:rPr>
  </w:style>
  <w:style w:type="character" w:styleId="837">
    <w:name w:val="Неразрешенное упоминание"/>
    <w:next w:val="837"/>
    <w:link w:val="818"/>
    <w:uiPriority w:val="99"/>
    <w:semiHidden/>
    <w:unhideWhenUsed/>
    <w:rPr>
      <w:color w:val="605e5c"/>
      <w:shd w:val="clear" w:color="auto" w:fill="e1dfdd"/>
    </w:rPr>
  </w:style>
  <w:style w:type="paragraph" w:styleId="838">
    <w:name w:val="Основной текст"/>
    <w:basedOn w:val="818"/>
    <w:next w:val="838"/>
    <w:link w:val="839"/>
    <w:pPr>
      <w:spacing w:after="120"/>
    </w:pPr>
  </w:style>
  <w:style w:type="character" w:styleId="839">
    <w:name w:val="Основной текст Знак"/>
    <w:next w:val="839"/>
    <w:link w:val="838"/>
    <w:rPr>
      <w:sz w:val="24"/>
      <w:szCs w:val="24"/>
    </w:rPr>
  </w:style>
  <w:style w:type="character" w:styleId="840">
    <w:name w:val="Основной текст с отступом Знак"/>
    <w:next w:val="840"/>
    <w:link w:val="828"/>
    <w:rPr>
      <w:sz w:val="28"/>
      <w:szCs w:val="24"/>
    </w:rPr>
  </w:style>
  <w:style w:type="paragraph" w:styleId="841">
    <w:name w:val="Абзац списка"/>
    <w:basedOn w:val="818"/>
    <w:next w:val="841"/>
    <w:link w:val="818"/>
    <w:uiPriority w:val="34"/>
    <w:qFormat/>
    <w:pPr>
      <w:contextualSpacing/>
      <w:ind w:left="720"/>
      <w:spacing w:after="160" w:line="259" w:lineRule="auto"/>
    </w:pPr>
    <w:rPr>
      <w:rFonts w:ascii="Calibri" w:hAnsi="Calibri" w:eastAsia="Calibri" w:cs="Times New Roman"/>
      <w:sz w:val="22"/>
      <w:szCs w:val="22"/>
      <w:lang w:eastAsia="en-US"/>
    </w:rPr>
  </w:style>
  <w:style w:type="character" w:styleId="842" w:default="1">
    <w:name w:val="Default Paragraph Font"/>
    <w:uiPriority w:val="1"/>
    <w:semiHidden/>
    <w:unhideWhenUsed/>
  </w:style>
  <w:style w:type="numbering" w:styleId="843" w:default="1">
    <w:name w:val="No List"/>
    <w:uiPriority w:val="99"/>
    <w:semiHidden/>
    <w:unhideWhenUsed/>
  </w:style>
  <w:style w:type="table" w:styleId="84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2023-12-21T09:17:00Z</dcterms:created>
  <dcterms:modified xsi:type="dcterms:W3CDTF">2023-12-25T07:59:46Z</dcterms:modified>
  <cp:version>1048576</cp:version>
</cp:coreProperties>
</file>