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ind w:firstLine="709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Савеловский </w:t>
      </w:r>
      <w:r>
        <w:rPr>
          <w:b/>
          <w:bCs/>
          <w:sz w:val="27"/>
          <w:szCs w:val="27"/>
        </w:rPr>
        <w:t xml:space="preserve">межрайонный</w:t>
      </w:r>
      <w:r>
        <w:rPr>
          <w:b/>
          <w:bCs/>
          <w:sz w:val="27"/>
          <w:szCs w:val="27"/>
        </w:rPr>
        <w:t xml:space="preserve"> прокурор г. Москвы разъясняет</w:t>
      </w:r>
      <w:r>
        <w:rPr>
          <w:b/>
          <w:bCs/>
          <w:sz w:val="27"/>
          <w:szCs w:val="27"/>
        </w:rPr>
        <w:t xml:space="preserve">.</w:t>
      </w:r>
      <w:r>
        <w:rPr>
          <w:b/>
          <w:bCs/>
          <w:sz w:val="27"/>
          <w:szCs w:val="27"/>
        </w:rPr>
      </w:r>
      <w:r/>
    </w:p>
    <w:p>
      <w:pPr>
        <w:pStyle w:val="818"/>
        <w:ind w:firstLine="709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Ответственность за незаконную предпринимательскую деятельность.</w:t>
      </w:r>
      <w:r>
        <w:rPr>
          <w:b/>
          <w:bCs/>
          <w:sz w:val="27"/>
          <w:szCs w:val="27"/>
        </w:rPr>
      </w:r>
      <w:r/>
    </w:p>
    <w:p>
      <w:pPr>
        <w:pStyle w:val="841"/>
        <w:ind w:left="0" w:firstLine="709"/>
        <w:jc w:val="both"/>
        <w:spacing w:after="0" w:line="240" w:lineRule="auto"/>
        <w:rPr>
          <w:rFonts w:ascii="Times New Roman" w:hAnsi="Times New Roman" w:eastAsia="Times New Roman"/>
          <w:sz w:val="27"/>
          <w:szCs w:val="27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Предпринимательской является самостоятельная, осуществляемая </w:t>
        <w:br w:type="textWrapping" w:clear="all"/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на свой риск деятельность, направленная на систематическое получение прибыли от пользования имуществом, продажи товаров, выполнения работ или оказания услуг (п. 1 ст. 2 Г</w:t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К РФ</w:t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).</w:t>
      </w:r>
      <w:r>
        <w:rPr>
          <w:sz w:val="27"/>
          <w:szCs w:val="27"/>
        </w:rPr>
      </w:r>
      <w:r/>
    </w:p>
    <w:p>
      <w:pPr>
        <w:pStyle w:val="841"/>
        <w:ind w:left="0" w:firstLine="709"/>
        <w:jc w:val="both"/>
        <w:spacing w:after="0" w:line="240" w:lineRule="auto"/>
        <w:rPr>
          <w:rFonts w:ascii="Times New Roman" w:hAnsi="Times New Roman" w:eastAsia="Times New Roman"/>
          <w:sz w:val="27"/>
          <w:szCs w:val="27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В силу ст. 23 ГК РФ любой гражданин вправе заниматься предпринимательской деятельностью без образования юридического лица </w:t>
      </w:r>
      <w:r>
        <w:rPr>
          <w:rFonts w:ascii="Times New Roman" w:hAnsi="Times New Roman" w:eastAsia="Times New Roman"/>
          <w:sz w:val="27"/>
          <w:szCs w:val="27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с момента государственной регистрации в качестве индивидуального предпринимателя в Федеральной налоговой службе.</w:t>
      </w:r>
      <w:r>
        <w:rPr>
          <w:sz w:val="27"/>
          <w:szCs w:val="27"/>
        </w:rPr>
      </w:r>
      <w:r/>
    </w:p>
    <w:p>
      <w:pPr>
        <w:pStyle w:val="841"/>
        <w:ind w:left="0" w:firstLine="709"/>
        <w:jc w:val="both"/>
        <w:spacing w:after="0" w:line="240" w:lineRule="auto"/>
        <w:rPr>
          <w:rFonts w:ascii="Times New Roman" w:hAnsi="Times New Roman" w:eastAsia="Times New Roman"/>
          <w:sz w:val="27"/>
          <w:szCs w:val="27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Некоторые виды деятельности подлежат лицензированию </w:t>
      </w:r>
      <w:r>
        <w:rPr>
          <w:rFonts w:ascii="Times New Roman" w:hAnsi="Times New Roman" w:eastAsia="Times New Roman"/>
          <w:sz w:val="27"/>
          <w:szCs w:val="27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в соответствии с Федеральным законом от 04.05.2011 № 99-ФЗ </w:t>
      </w:r>
      <w:r>
        <w:rPr>
          <w:rFonts w:ascii="Times New Roman" w:hAnsi="Times New Roman" w:eastAsia="Times New Roman"/>
          <w:sz w:val="27"/>
          <w:szCs w:val="27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«О лицензировании отдельных видов деятельности» (деятельность в сфере медицины; перевозки пассажиров; заготовки, хранения, переработки </w:t>
      </w:r>
      <w:r>
        <w:rPr>
          <w:rFonts w:ascii="Times New Roman" w:hAnsi="Times New Roman" w:eastAsia="Times New Roman"/>
          <w:sz w:val="27"/>
          <w:szCs w:val="27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и реализации лома черных и цветных металлов и др.), а отсутствие таковой </w:t>
      </w:r>
      <w:r>
        <w:rPr>
          <w:rFonts w:ascii="Times New Roman" w:hAnsi="Times New Roman" w:eastAsia="Times New Roman"/>
          <w:sz w:val="27"/>
          <w:szCs w:val="27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на осуществление указанных законом видов деятельности влечет наказание.</w:t>
      </w:r>
      <w:r>
        <w:rPr>
          <w:sz w:val="27"/>
          <w:szCs w:val="27"/>
        </w:rPr>
      </w:r>
      <w:r/>
    </w:p>
    <w:p>
      <w:pPr>
        <w:pStyle w:val="841"/>
        <w:ind w:left="0" w:firstLine="709"/>
        <w:jc w:val="both"/>
        <w:spacing w:after="0" w:line="240" w:lineRule="auto"/>
        <w:rPr>
          <w:rFonts w:ascii="Times New Roman" w:hAnsi="Times New Roman" w:eastAsia="Times New Roman"/>
          <w:sz w:val="27"/>
          <w:szCs w:val="27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Частью 1 ст. 14.1 КоАП РФ установлена административная ответственность за осуществление предпринимательской деятельности </w:t>
      </w:r>
      <w:r>
        <w:rPr>
          <w:rFonts w:ascii="Times New Roman" w:hAnsi="Times New Roman" w:eastAsia="Times New Roman"/>
          <w:sz w:val="27"/>
          <w:szCs w:val="27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без государстве</w:t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нной регистрации в качестве индивидуального предпринимателя или юридического лица в виде штрафа от 500 до 2 тысяч руб.</w:t>
      </w:r>
      <w:r>
        <w:rPr>
          <w:sz w:val="27"/>
          <w:szCs w:val="27"/>
        </w:rPr>
      </w:r>
      <w:r/>
    </w:p>
    <w:p>
      <w:pPr>
        <w:pStyle w:val="841"/>
        <w:ind w:left="0" w:firstLine="709"/>
        <w:jc w:val="both"/>
        <w:spacing w:after="0" w:line="240" w:lineRule="auto"/>
        <w:rPr>
          <w:rFonts w:ascii="Times New Roman" w:hAnsi="Times New Roman" w:eastAsia="Times New Roman"/>
          <w:sz w:val="27"/>
          <w:szCs w:val="27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Частями 2, 3, 4 ст. 14.1 КоАП РФ предусмотрена административная ответственность за осуществление: деятельности без специального р</w:t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азрешения (лицензии), когда такое разрешение (лицензия) обязательны; предпринимательской деятельности с нарушением требований и условий, предусмотренных специальным разрешением (лицензией); предпринимательской деятельности с грубыми нарушениями требований </w:t>
      </w:r>
      <w:r>
        <w:rPr>
          <w:rFonts w:ascii="Times New Roman" w:hAnsi="Times New Roman" w:eastAsia="Times New Roman"/>
          <w:sz w:val="27"/>
          <w:szCs w:val="27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и условий, предусмотренных специальным разрешением (лицензией).</w:t>
      </w:r>
      <w:r>
        <w:rPr>
          <w:sz w:val="27"/>
          <w:szCs w:val="27"/>
        </w:rPr>
      </w:r>
      <w:r/>
    </w:p>
    <w:p>
      <w:pPr>
        <w:pStyle w:val="841"/>
        <w:ind w:left="0" w:firstLine="709"/>
        <w:jc w:val="both"/>
        <w:spacing w:after="0" w:line="240" w:lineRule="auto"/>
        <w:rPr>
          <w:rFonts w:ascii="Times New Roman" w:hAnsi="Times New Roman" w:eastAsia="Times New Roman"/>
          <w:sz w:val="27"/>
          <w:szCs w:val="27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Совершение этих правонарушений индивидуальными предпринимателями и юридическими лицами влечет наложение административного наказания как: штраф, конфискация изготовленной продукции, орудий производства и сырья, административное приостановление деятельности.</w:t>
      </w:r>
      <w:r>
        <w:rPr>
          <w:sz w:val="27"/>
          <w:szCs w:val="27"/>
        </w:rPr>
      </w:r>
      <w:r/>
    </w:p>
    <w:p>
      <w:pPr>
        <w:pStyle w:val="841"/>
        <w:ind w:left="0" w:firstLine="709"/>
        <w:jc w:val="both"/>
        <w:spacing w:after="0" w:line="240" w:lineRule="auto"/>
        <w:rPr>
          <w:rFonts w:ascii="Times New Roman" w:hAnsi="Times New Roman" w:eastAsia="Times New Roman"/>
          <w:sz w:val="27"/>
          <w:szCs w:val="27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Когда при осуществлении «нелегальной» деятельности нанесен крупный ущерб государству, организациям или гражданам, либо деяние совершено организованной группой, либо с извлечением дохода в крупном </w:t>
      </w:r>
      <w:r>
        <w:rPr>
          <w:rFonts w:ascii="Times New Roman" w:hAnsi="Times New Roman" w:eastAsia="Times New Roman"/>
          <w:sz w:val="27"/>
          <w:szCs w:val="27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и особо крупном размере, виновному грозит уголовная ответственность </w:t>
      </w:r>
      <w:r>
        <w:rPr>
          <w:rFonts w:ascii="Times New Roman" w:hAnsi="Times New Roman" w:eastAsia="Times New Roman"/>
          <w:sz w:val="27"/>
          <w:szCs w:val="27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7"/>
          <w:szCs w:val="27"/>
          <w:lang w:eastAsia="ru-RU"/>
        </w:rPr>
        <w:t xml:space="preserve">по ст. 171 УК РФ.</w:t>
      </w:r>
      <w:r>
        <w:rPr>
          <w:sz w:val="27"/>
          <w:szCs w:val="27"/>
        </w:rPr>
      </w:r>
      <w:r/>
    </w:p>
    <w:p>
      <w:pPr>
        <w:pStyle w:val="818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качестве наказаний УК РФ предусматривает штраф, обязательные работы, арест, принудительные работы, лишение свободы.</w:t>
      </w:r>
      <w:r>
        <w:rPr>
          <w:sz w:val="27"/>
          <w:szCs w:val="27"/>
        </w:rPr>
      </w:r>
      <w:r/>
    </w:p>
    <w:p>
      <w:pPr>
        <w:pStyle w:val="82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2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2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/>
    </w:p>
    <w:p>
      <w:pPr>
        <w:pStyle w:val="828"/>
        <w:ind w:firstLine="0"/>
        <w:rPr>
          <w:szCs w:val="28"/>
        </w:rPr>
      </w:pPr>
      <w:r>
        <w:rPr>
          <w:sz w:val="27"/>
          <w:szCs w:val="27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 w:val="27"/>
          <w:szCs w:val="27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qFormat/>
    <w:rPr>
      <w:sz w:val="24"/>
      <w:szCs w:val="24"/>
      <w:lang w:val="ru-RU" w:eastAsia="ru-RU" w:bidi="ar-SA"/>
    </w:rPr>
  </w:style>
  <w:style w:type="character" w:styleId="819">
    <w:name w:val="Основной шрифт абзаца, Знак Знак"/>
    <w:next w:val="819"/>
    <w:link w:val="818"/>
    <w:semiHidden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UserStyle_0"/>
    <w:basedOn w:val="818"/>
    <w:next w:val="822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3">
    <w:name w:val=" Char Знак Знак Char Char"/>
    <w:basedOn w:val="818"/>
    <w:next w:val="823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4">
    <w:name w:val="Верхний колонтитул"/>
    <w:basedOn w:val="818"/>
    <w:next w:val="824"/>
    <w:link w:val="818"/>
    <w:pPr>
      <w:tabs>
        <w:tab w:val="center" w:pos="4677" w:leader="none"/>
        <w:tab w:val="right" w:pos="9355" w:leader="none"/>
      </w:tabs>
    </w:pPr>
  </w:style>
  <w:style w:type="paragraph" w:styleId="825">
    <w:name w:val="Нижний колонтитул"/>
    <w:basedOn w:val="818"/>
    <w:next w:val="825"/>
    <w:link w:val="818"/>
    <w:pPr>
      <w:tabs>
        <w:tab w:val="center" w:pos="4677" w:leader="none"/>
        <w:tab w:val="right" w:pos="9355" w:leader="none"/>
      </w:tabs>
    </w:pPr>
  </w:style>
  <w:style w:type="paragraph" w:styleId="826">
    <w:name w:val=" Знак Знак Знак Знак"/>
    <w:basedOn w:val="818"/>
    <w:next w:val="826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7">
    <w:name w:val="Сетка таблицы"/>
    <w:basedOn w:val="820"/>
    <w:next w:val="827"/>
    <w:link w:val="818"/>
    <w:tblPr/>
  </w:style>
  <w:style w:type="paragraph" w:styleId="828">
    <w:name w:val="Основной текст с отступом"/>
    <w:basedOn w:val="818"/>
    <w:next w:val="828"/>
    <w:link w:val="840"/>
    <w:pPr>
      <w:ind w:firstLine="720"/>
      <w:jc w:val="both"/>
    </w:pPr>
    <w:rPr>
      <w:sz w:val="28"/>
    </w:rPr>
  </w:style>
  <w:style w:type="paragraph" w:styleId="829">
    <w:name w:val=" Знак1"/>
    <w:basedOn w:val="818"/>
    <w:next w:val="829"/>
    <w:link w:val="818"/>
    <w:pPr>
      <w:spacing w:after="160" w:line="240" w:lineRule="exact"/>
    </w:pPr>
    <w:rPr>
      <w:rFonts w:ascii="Verdana" w:hAnsi="Verdana"/>
      <w:lang w:val="en-US" w:eastAsia="en-US"/>
    </w:rPr>
  </w:style>
  <w:style w:type="paragraph" w:styleId="830">
    <w:name w:val="Знак Знак Знак Знак Знак Знак Знак Знак"/>
    <w:basedOn w:val="818"/>
    <w:next w:val="830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1">
    <w:name w:val="Знак"/>
    <w:basedOn w:val="818"/>
    <w:next w:val="831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2">
    <w:name w:val="ConsPlusNormal"/>
    <w:next w:val="832"/>
    <w:link w:val="818"/>
    <w:rPr>
      <w:sz w:val="28"/>
      <w:szCs w:val="28"/>
      <w:lang w:val="ru-RU" w:eastAsia="ru-RU" w:bidi="ar-SA"/>
    </w:rPr>
  </w:style>
  <w:style w:type="paragraph" w:styleId="833">
    <w:name w:val="Текст выноски"/>
    <w:basedOn w:val="818"/>
    <w:next w:val="833"/>
    <w:link w:val="834"/>
    <w:rPr>
      <w:rFonts w:ascii="Segoe UI" w:hAnsi="Segoe UI" w:cs="Segoe UI"/>
      <w:sz w:val="18"/>
      <w:szCs w:val="18"/>
    </w:rPr>
  </w:style>
  <w:style w:type="character" w:styleId="834">
    <w:name w:val="Текст выноски Знак"/>
    <w:next w:val="834"/>
    <w:link w:val="833"/>
    <w:rPr>
      <w:rFonts w:ascii="Segoe UI" w:hAnsi="Segoe UI" w:cs="Segoe UI"/>
      <w:sz w:val="18"/>
      <w:szCs w:val="18"/>
    </w:rPr>
  </w:style>
  <w:style w:type="paragraph" w:styleId="835">
    <w:name w:val="Style6"/>
    <w:basedOn w:val="818"/>
    <w:next w:val="835"/>
    <w:link w:val="818"/>
    <w:pPr>
      <w:ind w:firstLine="701"/>
      <w:jc w:val="both"/>
      <w:spacing w:line="420" w:lineRule="exact"/>
      <w:widowControl w:val="off"/>
    </w:pPr>
  </w:style>
  <w:style w:type="character" w:styleId="836">
    <w:name w:val="Гиперссылка"/>
    <w:next w:val="836"/>
    <w:link w:val="818"/>
    <w:rPr>
      <w:color w:val="0000ff"/>
      <w:u w:val="single"/>
    </w:rPr>
  </w:style>
  <w:style w:type="character" w:styleId="837">
    <w:name w:val="Неразрешенное упоминание"/>
    <w:next w:val="837"/>
    <w:link w:val="818"/>
    <w:uiPriority w:val="99"/>
    <w:semiHidden/>
    <w:unhideWhenUsed/>
    <w:rPr>
      <w:color w:val="605e5c"/>
      <w:shd w:val="clear" w:color="auto" w:fill="e1dfdd"/>
    </w:rPr>
  </w:style>
  <w:style w:type="paragraph" w:styleId="838">
    <w:name w:val="Основной текст"/>
    <w:basedOn w:val="818"/>
    <w:next w:val="838"/>
    <w:link w:val="839"/>
    <w:pPr>
      <w:spacing w:after="120"/>
    </w:pPr>
  </w:style>
  <w:style w:type="character" w:styleId="839">
    <w:name w:val="Основной текст Знак"/>
    <w:next w:val="839"/>
    <w:link w:val="838"/>
    <w:rPr>
      <w:sz w:val="24"/>
      <w:szCs w:val="24"/>
    </w:rPr>
  </w:style>
  <w:style w:type="character" w:styleId="840">
    <w:name w:val="Основной текст с отступом Знак"/>
    <w:next w:val="840"/>
    <w:link w:val="828"/>
    <w:rPr>
      <w:sz w:val="28"/>
      <w:szCs w:val="24"/>
    </w:rPr>
  </w:style>
  <w:style w:type="paragraph" w:styleId="841">
    <w:name w:val="Абзац списка"/>
    <w:basedOn w:val="818"/>
    <w:next w:val="841"/>
    <w:link w:val="818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2023-12-21T09:11:00Z</dcterms:created>
  <dcterms:modified xsi:type="dcterms:W3CDTF">2023-12-25T07:58:50Z</dcterms:modified>
  <cp:version>1048576</cp:version>
</cp:coreProperties>
</file>