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2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</w:t>
      </w:r>
      <w:r>
        <w:rPr>
          <w:b/>
          <w:bCs/>
          <w:sz w:val="28"/>
          <w:szCs w:val="28"/>
        </w:rPr>
        <w:t xml:space="preserve">Савеловский межрайонный прокурор г. Москвы разъясняет</w:t>
      </w:r>
      <w:r>
        <w:rPr>
          <w:b/>
          <w:bCs/>
          <w:sz w:val="28"/>
          <w:szCs w:val="28"/>
        </w:rPr>
        <w:t xml:space="preserve">»</w:t>
      </w:r>
      <w:r>
        <w:rPr>
          <w:b/>
          <w:bCs/>
          <w:sz w:val="28"/>
          <w:szCs w:val="28"/>
        </w:rPr>
        <w:t xml:space="preserve">.</w:t>
      </w:r>
      <w:r>
        <w:rPr>
          <w:b/>
          <w:bCs/>
          <w:sz w:val="28"/>
          <w:szCs w:val="28"/>
        </w:rPr>
      </w:r>
      <w:r>
        <w:rPr>
          <w:b/>
          <w:bCs/>
        </w:rPr>
      </w:r>
    </w:p>
    <w:p>
      <w:pPr>
        <w:pStyle w:val="622"/>
        <w:ind w:firstLine="709"/>
        <w:jc w:val="both"/>
        <w:shd w:val="clear" w:color="auto" w:fill="ffffff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 xml:space="preserve">Понятие незаконного перемещения </w:t>
      </w:r>
      <w:r>
        <w:rPr>
          <w:b/>
          <w:bCs/>
          <w:sz w:val="28"/>
          <w:szCs w:val="28"/>
        </w:rPr>
        <w:t xml:space="preserve">запрещенных веществ при контрабанде</w:t>
      </w:r>
      <w:r>
        <w:rPr>
          <w:b/>
          <w:bCs/>
          <w:sz w:val="28"/>
          <w:szCs w:val="28"/>
        </w:rPr>
        <w:t xml:space="preserve">.</w:t>
      </w:r>
      <w:r>
        <w:rPr>
          <w:b/>
          <w:bCs/>
          <w:sz w:val="28"/>
          <w:szCs w:val="28"/>
        </w:rPr>
      </w:r>
      <w:r>
        <w:rPr>
          <w:b/>
          <w:bCs/>
        </w:rPr>
      </w:r>
    </w:p>
    <w:p>
      <w:pPr>
        <w:ind w:firstLine="709"/>
        <w:jc w:val="both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622"/>
        <w:ind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п. 5 </w:t>
      </w:r>
      <w:r>
        <w:rPr>
          <w:sz w:val="28"/>
          <w:szCs w:val="28"/>
        </w:rPr>
        <w:t xml:space="preserve">Постановлени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Пленума Верховного Суда РФ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от 27.04.2017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 12</w:t>
      </w:r>
      <w:r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 судебной практике по делам о контрабанде</w:t>
      </w:r>
      <w:r>
        <w:rPr>
          <w:sz w:val="28"/>
          <w:szCs w:val="28"/>
        </w:rPr>
        <w:t xml:space="preserve">» п</w:t>
      </w:r>
      <w:r>
        <w:rPr>
          <w:sz w:val="28"/>
          <w:szCs w:val="28"/>
        </w:rPr>
        <w:t xml:space="preserve">еремещение через таможенную границу или государственную границу товаров и иных предметов заключается в совершении действий по ввозу соответственно на таможенную территорию </w:t>
      </w:r>
      <w:r>
        <w:rPr>
          <w:sz w:val="28"/>
          <w:szCs w:val="28"/>
        </w:rPr>
        <w:t xml:space="preserve">Евразийско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экономическо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союз</w:t>
      </w:r>
      <w:r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или территорию Российской Федерации или вывозу с этих территорий товаров или иных предметов любым способом.</w:t>
      </w:r>
      <w:r/>
    </w:p>
    <w:p>
      <w:pPr>
        <w:pStyle w:val="622"/>
        <w:ind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Понятие незаконного перемещения товаров </w:t>
      </w:r>
      <w:r>
        <w:rPr>
          <w:sz w:val="28"/>
          <w:szCs w:val="28"/>
        </w:rPr>
        <w:t xml:space="preserve">или иных предметов через таможенную границу</w:t>
      </w:r>
      <w:r>
        <w:rPr>
          <w:sz w:val="28"/>
          <w:szCs w:val="28"/>
        </w:rPr>
        <w:t xml:space="preserve"> подразумевает </w:t>
      </w:r>
      <w:r>
        <w:rPr>
          <w:sz w:val="28"/>
          <w:szCs w:val="28"/>
        </w:rPr>
        <w:t xml:space="preserve">перемещение товаров или иных предметов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/>
    </w:p>
    <w:p>
      <w:pPr>
        <w:pStyle w:val="622"/>
        <w:ind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вне установленных мест или в неустановленное время работы таможенных органов в этих местах</w:t>
      </w:r>
      <w:r>
        <w:rPr>
          <w:sz w:val="28"/>
          <w:szCs w:val="28"/>
        </w:rPr>
        <w:t xml:space="preserve">;</w:t>
      </w:r>
      <w:r/>
    </w:p>
    <w:p>
      <w:pPr>
        <w:pStyle w:val="622"/>
        <w:ind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с сокрытием от таможенного контроля, либо с недостоверным декларированием или недекларированием товаров</w:t>
      </w:r>
      <w:r>
        <w:rPr>
          <w:sz w:val="28"/>
          <w:szCs w:val="28"/>
        </w:rPr>
        <w:t xml:space="preserve">;</w:t>
      </w:r>
      <w:r/>
    </w:p>
    <w:p>
      <w:pPr>
        <w:pStyle w:val="622"/>
        <w:ind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с использованием документов, содержащих недостоверные сведения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о товарах или иных предметах, и (или) с использованием поддельных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либо относящихся к другим товарам или иным предметам средств идентификации.</w:t>
      </w:r>
      <w:r/>
    </w:p>
    <w:p>
      <w:pPr>
        <w:pStyle w:val="622"/>
        <w:ind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Вместе с тем, </w:t>
      </w:r>
      <w:r>
        <w:rPr>
          <w:sz w:val="28"/>
          <w:szCs w:val="28"/>
        </w:rPr>
        <w:t xml:space="preserve">правовое регулирование ввоза или вывоза товаров и иных предметов с территории одного государства - члена Союза на территорию другого государства - члена Союза имеет свои особенности</w:t>
      </w:r>
      <w:r>
        <w:rPr>
          <w:sz w:val="28"/>
          <w:szCs w:val="28"/>
        </w:rPr>
        <w:t xml:space="preserve">, поскольку каждый член Союза вправе на государственном уровне ввести отдельные ограничения, касающиеся </w:t>
      </w:r>
      <w:r>
        <w:rPr>
          <w:sz w:val="28"/>
          <w:szCs w:val="28"/>
        </w:rPr>
        <w:t xml:space="preserve">оборот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отдельных веществ или предметов, в частности, представляющих угрозу общественной безопасности.</w:t>
      </w:r>
      <w:r>
        <w:rPr>
          <w:sz w:val="28"/>
          <w:szCs w:val="28"/>
        </w:rPr>
        <w:t xml:space="preserve"> В этом случае, п</w:t>
      </w:r>
      <w:r>
        <w:rPr>
          <w:sz w:val="28"/>
          <w:szCs w:val="28"/>
        </w:rPr>
        <w:t xml:space="preserve">орядок перемещения или обращения таких товаров на таможенной территории Союза определяется в соответствии с Договором, а также международными договорами в рамках этого Союза.</w:t>
      </w:r>
      <w:r/>
    </w:p>
    <w:p>
      <w:pPr>
        <w:pStyle w:val="632"/>
        <w:ind w:firstLine="0"/>
        <w:rPr>
          <w:szCs w:val="28"/>
        </w:rPr>
      </w:pPr>
      <w:r>
        <w:rPr>
          <w:szCs w:val="28"/>
        </w:rPr>
      </w:r>
      <w:r/>
    </w:p>
    <w:p>
      <w:pPr>
        <w:pStyle w:val="632"/>
        <w:ind w:firstLine="0"/>
        <w:rPr>
          <w:szCs w:val="28"/>
        </w:rPr>
      </w:pPr>
      <w:r>
        <w:rPr>
          <w:szCs w:val="28"/>
        </w:rPr>
      </w:r>
      <w:r/>
    </w:p>
    <w:p>
      <w:pPr>
        <w:pStyle w:val="632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/>
    </w:p>
    <w:sectPr>
      <w:headerReference w:type="even" r:id="rId8"/>
      <w:footerReference w:type="even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29"/>
    </w:pPr>
    <w:r>
      <w:t xml:space="preserve">К.С. Люликова</w:t>
    </w:r>
    <w:r/>
  </w:p>
  <w:p>
    <w:pPr>
      <w:pStyle w:val="62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28"/>
      <w:jc w:val="center"/>
    </w:pPr>
    <w:r>
      <w:t xml:space="preserve">2</w: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2"/>
    <w:next w:val="62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2"/>
    <w:next w:val="62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2"/>
    <w:next w:val="62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2"/>
    <w:next w:val="62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2"/>
    <w:next w:val="62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2"/>
    <w:next w:val="62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2"/>
    <w:next w:val="62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2"/>
    <w:next w:val="62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2"/>
    <w:next w:val="62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2"/>
    <w:next w:val="62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22"/>
    <w:next w:val="62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22"/>
    <w:next w:val="62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2"/>
    <w:next w:val="62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2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22"/>
    <w:next w:val="62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2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22"/>
    <w:next w:val="62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2"/>
    <w:next w:val="62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2"/>
    <w:next w:val="62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2"/>
    <w:next w:val="62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2"/>
    <w:next w:val="62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2"/>
    <w:next w:val="62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2"/>
    <w:next w:val="62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2"/>
    <w:next w:val="62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2"/>
    <w:next w:val="62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2"/>
    <w:next w:val="622"/>
    <w:uiPriority w:val="99"/>
    <w:unhideWhenUsed/>
    <w:pPr>
      <w:spacing w:after="0" w:afterAutospacing="0"/>
    </w:pPr>
  </w:style>
  <w:style w:type="paragraph" w:styleId="622" w:default="1">
    <w:name w:val="Normal"/>
    <w:next w:val="622"/>
    <w:link w:val="622"/>
    <w:qFormat/>
    <w:rPr>
      <w:sz w:val="24"/>
      <w:szCs w:val="24"/>
      <w:lang w:val="ru-RU" w:eastAsia="ru-RU" w:bidi="ar-SA"/>
    </w:rPr>
  </w:style>
  <w:style w:type="character" w:styleId="623">
    <w:name w:val="Основной шрифт абзаца, Знак Знак"/>
    <w:next w:val="623"/>
    <w:link w:val="622"/>
    <w:semiHidden/>
  </w:style>
  <w:style w:type="table" w:styleId="624">
    <w:name w:val="Обычная таблица"/>
    <w:next w:val="624"/>
    <w:link w:val="622"/>
    <w:semiHidden/>
    <w:tblPr/>
  </w:style>
  <w:style w:type="numbering" w:styleId="625">
    <w:name w:val="Нет списка"/>
    <w:next w:val="625"/>
    <w:link w:val="622"/>
    <w:semiHidden/>
  </w:style>
  <w:style w:type="paragraph" w:styleId="626">
    <w:name w:val="UserStyle_0"/>
    <w:basedOn w:val="622"/>
    <w:next w:val="626"/>
    <w:link w:val="6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7">
    <w:name w:val=" Char Знак Знак Char Char"/>
    <w:basedOn w:val="622"/>
    <w:next w:val="627"/>
    <w:link w:val="6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8">
    <w:name w:val="Верхний колонтитул"/>
    <w:basedOn w:val="622"/>
    <w:next w:val="628"/>
    <w:link w:val="622"/>
    <w:pPr>
      <w:tabs>
        <w:tab w:val="center" w:pos="4677" w:leader="none"/>
        <w:tab w:val="right" w:pos="9355" w:leader="none"/>
      </w:tabs>
    </w:pPr>
  </w:style>
  <w:style w:type="paragraph" w:styleId="629">
    <w:name w:val="Нижний колонтитул"/>
    <w:basedOn w:val="622"/>
    <w:next w:val="629"/>
    <w:link w:val="622"/>
    <w:pPr>
      <w:tabs>
        <w:tab w:val="center" w:pos="4677" w:leader="none"/>
        <w:tab w:val="right" w:pos="9355" w:leader="none"/>
      </w:tabs>
    </w:pPr>
  </w:style>
  <w:style w:type="paragraph" w:styleId="630">
    <w:name w:val=" Знак Знак Знак Знак"/>
    <w:basedOn w:val="622"/>
    <w:next w:val="630"/>
    <w:link w:val="6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31">
    <w:name w:val="Сетка таблицы"/>
    <w:basedOn w:val="624"/>
    <w:next w:val="631"/>
    <w:link w:val="622"/>
    <w:tblPr/>
  </w:style>
  <w:style w:type="paragraph" w:styleId="632">
    <w:name w:val="Основной текст с отступом"/>
    <w:basedOn w:val="622"/>
    <w:next w:val="632"/>
    <w:link w:val="622"/>
    <w:pPr>
      <w:ind w:firstLine="720"/>
      <w:jc w:val="both"/>
    </w:pPr>
    <w:rPr>
      <w:sz w:val="28"/>
    </w:rPr>
  </w:style>
  <w:style w:type="paragraph" w:styleId="633">
    <w:name w:val=" Знак1"/>
    <w:basedOn w:val="622"/>
    <w:next w:val="633"/>
    <w:link w:val="622"/>
    <w:pPr>
      <w:spacing w:after="160" w:line="240" w:lineRule="exact"/>
    </w:pPr>
    <w:rPr>
      <w:rFonts w:ascii="Verdana" w:hAnsi="Verdana"/>
      <w:lang w:val="en-US" w:eastAsia="en-US"/>
    </w:rPr>
  </w:style>
  <w:style w:type="paragraph" w:styleId="634">
    <w:name w:val="Знак Знак Знак Знак Знак Знак Знак Знак"/>
    <w:basedOn w:val="622"/>
    <w:next w:val="634"/>
    <w:link w:val="6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5">
    <w:name w:val="Знак"/>
    <w:basedOn w:val="622"/>
    <w:next w:val="635"/>
    <w:link w:val="6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ConsPlusNormal"/>
    <w:next w:val="636"/>
    <w:link w:val="622"/>
    <w:rPr>
      <w:sz w:val="28"/>
      <w:szCs w:val="28"/>
      <w:lang w:val="ru-RU" w:eastAsia="ru-RU" w:bidi="ar-SA"/>
    </w:rPr>
  </w:style>
  <w:style w:type="paragraph" w:styleId="637">
    <w:name w:val="Текст выноски"/>
    <w:basedOn w:val="622"/>
    <w:next w:val="637"/>
    <w:link w:val="638"/>
    <w:rPr>
      <w:rFonts w:ascii="Segoe UI" w:hAnsi="Segoe UI" w:cs="Segoe UI"/>
      <w:sz w:val="18"/>
      <w:szCs w:val="18"/>
    </w:rPr>
  </w:style>
  <w:style w:type="character" w:styleId="638">
    <w:name w:val="Текст выноски Знак"/>
    <w:next w:val="638"/>
    <w:link w:val="637"/>
    <w:rPr>
      <w:rFonts w:ascii="Segoe UI" w:hAnsi="Segoe UI" w:cs="Segoe UI"/>
      <w:sz w:val="18"/>
      <w:szCs w:val="18"/>
    </w:rPr>
  </w:style>
  <w:style w:type="paragraph" w:styleId="639">
    <w:name w:val="Style6"/>
    <w:basedOn w:val="622"/>
    <w:next w:val="639"/>
    <w:link w:val="622"/>
    <w:pPr>
      <w:ind w:firstLine="701"/>
      <w:jc w:val="both"/>
      <w:spacing w:line="420" w:lineRule="exact"/>
      <w:widowControl w:val="off"/>
    </w:pPr>
  </w:style>
  <w:style w:type="character" w:styleId="640">
    <w:name w:val="Гиперссылка"/>
    <w:next w:val="640"/>
    <w:link w:val="622"/>
    <w:rPr>
      <w:color w:val="0000ff"/>
      <w:u w:val="single"/>
    </w:rPr>
  </w:style>
  <w:style w:type="character" w:styleId="641">
    <w:name w:val="Неразрешенное упоминание"/>
    <w:next w:val="641"/>
    <w:link w:val="622"/>
    <w:uiPriority w:val="99"/>
    <w:semiHidden/>
    <w:unhideWhenUsed/>
    <w:rPr>
      <w:color w:val="605e5c"/>
      <w:shd w:val="clear" w:color="auto" w:fill="e1dfdd"/>
    </w:rPr>
  </w:style>
  <w:style w:type="paragraph" w:styleId="642">
    <w:name w:val="Основной текст"/>
    <w:basedOn w:val="622"/>
    <w:next w:val="642"/>
    <w:link w:val="643"/>
    <w:pPr>
      <w:spacing w:after="120"/>
    </w:pPr>
  </w:style>
  <w:style w:type="character" w:styleId="643">
    <w:name w:val="Основной текст Знак"/>
    <w:next w:val="643"/>
    <w:link w:val="642"/>
    <w:rPr>
      <w:sz w:val="24"/>
      <w:szCs w:val="24"/>
    </w:rPr>
  </w:style>
  <w:style w:type="character" w:styleId="800" w:default="1">
    <w:name w:val="Default Paragraph Font"/>
    <w:uiPriority w:val="1"/>
    <w:semiHidden/>
    <w:unhideWhenUsed/>
  </w:style>
  <w:style w:type="numbering" w:styleId="801" w:default="1">
    <w:name w:val="No List"/>
    <w:uiPriority w:val="99"/>
    <w:semiHidden/>
    <w:unhideWhenUsed/>
  </w:style>
  <w:style w:type="table" w:styleId="80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2023-12-21T09:00:00Z</dcterms:created>
  <dcterms:modified xsi:type="dcterms:W3CDTF">2023-12-26T09:23:35Z</dcterms:modified>
  <cp:version>1048576</cp:version>
</cp:coreProperties>
</file>