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8"/>
        <w:rPr>
          <w:b/>
          <w:bCs/>
          <w:szCs w:val="28"/>
        </w:rPr>
      </w:pPr>
      <w:r>
        <w:rPr>
          <w:b/>
          <w:bCs/>
          <w:szCs w:val="28"/>
        </w:rPr>
        <w:t xml:space="preserve">«Савеловский межрайонный прокурор г. Москвы разъясняет».</w:t>
      </w:r>
      <w:r>
        <w:rPr>
          <w:b/>
          <w:bCs/>
          <w:szCs w:val="28"/>
        </w:rPr>
      </w:r>
      <w:r>
        <w:rPr>
          <w:b/>
          <w:bCs/>
        </w:rPr>
      </w:r>
    </w:p>
    <w:p>
      <w:pPr>
        <w:pStyle w:val="598"/>
        <w:ind w:firstLine="708"/>
        <w:jc w:val="both"/>
        <w:rPr>
          <w:b/>
          <w:bCs/>
          <w:sz w:val="28"/>
          <w:szCs w:val="28"/>
          <w:highlight w:val="none"/>
        </w:rPr>
      </w:pPr>
      <w:r>
        <w:rPr>
          <w:b/>
          <w:bCs/>
          <w:sz w:val="28"/>
          <w:szCs w:val="28"/>
        </w:rPr>
        <w:t xml:space="preserve">НАЛОГ НА САМОЗАНЯТЫХ: ОСНОВНЫЕ ПРАВИЛА.</w:t>
      </w:r>
      <w:r>
        <w:rPr>
          <w:b/>
          <w:bCs/>
        </w:rPr>
      </w:r>
    </w:p>
    <w:p>
      <w:pPr>
        <w:ind w:firstLine="708"/>
        <w:jc w:val="both"/>
        <w:rPr>
          <w:b/>
          <w:bCs/>
          <w:sz w:val="28"/>
          <w:szCs w:val="28"/>
        </w:rPr>
      </w:pPr>
      <w:r>
        <w:rPr>
          <w:b/>
          <w:bCs/>
          <w:sz w:val="28"/>
          <w:szCs w:val="28"/>
          <w:highlight w:val="none"/>
        </w:rPr>
      </w:r>
      <w:r>
        <w:rPr>
          <w:b/>
          <w:bCs/>
          <w:sz w:val="28"/>
          <w:szCs w:val="28"/>
          <w:highlight w:val="none"/>
        </w:rPr>
      </w:r>
    </w:p>
    <w:p>
      <w:pPr>
        <w:pStyle w:val="598"/>
        <w:ind w:firstLine="708"/>
        <w:jc w:val="both"/>
        <w:rPr>
          <w:sz w:val="28"/>
          <w:szCs w:val="28"/>
        </w:rPr>
      </w:pPr>
      <w:r>
        <w:rPr>
          <w:sz w:val="28"/>
          <w:szCs w:val="28"/>
        </w:rPr>
        <w:t xml:space="preserve">Налог на профессиональный доход (НПД), или налог для самозанятых - специальный налоговый режим для физлиц и ИП без работников. </w:t>
      </w:r>
      <w:r>
        <w:rPr>
          <w:sz w:val="28"/>
          <w:szCs w:val="28"/>
        </w:rPr>
      </w:r>
      <w:r/>
    </w:p>
    <w:p>
      <w:pPr>
        <w:pStyle w:val="598"/>
        <w:ind w:firstLine="708"/>
        <w:jc w:val="both"/>
        <w:rPr>
          <w:sz w:val="28"/>
          <w:szCs w:val="28"/>
        </w:rPr>
      </w:pPr>
      <w:r>
        <w:rPr>
          <w:sz w:val="28"/>
          <w:szCs w:val="28"/>
        </w:rPr>
        <w:t xml:space="preserve">Проф</w:t>
      </w:r>
      <w:r>
        <w:rPr>
          <w:sz w:val="28"/>
          <w:szCs w:val="28"/>
        </w:rPr>
        <w:t xml:space="preserve">ессиональный доход не может превышать 2,4 млн руб. в год. Ставки НПД - 4% от доходов, полученных от физлиц, и 6% от доходов, полученных от организаций и ИП. Страховые взносы самозанятые не платят. Бухучет самозанятому вести не надо, отчетности по НПД нет. </w:t>
      </w:r>
      <w:r>
        <w:rPr>
          <w:sz w:val="28"/>
          <w:szCs w:val="28"/>
        </w:rPr>
      </w:r>
      <w:r/>
    </w:p>
    <w:p>
      <w:pPr>
        <w:pStyle w:val="598"/>
        <w:ind w:firstLine="708"/>
        <w:jc w:val="both"/>
        <w:rPr>
          <w:sz w:val="28"/>
          <w:szCs w:val="28"/>
        </w:rPr>
      </w:pPr>
      <w:r>
        <w:rPr>
          <w:sz w:val="28"/>
          <w:szCs w:val="28"/>
        </w:rPr>
        <w:t xml:space="preserve">Налог за месяц рассчитает инспекция и пришлет уведомление в приложении "М</w:t>
      </w:r>
      <w:r>
        <w:rPr>
          <w:sz w:val="28"/>
          <w:szCs w:val="28"/>
        </w:rPr>
        <w:t xml:space="preserve">ой налог". Заплатить налог надо не позднее 28-го числа следующего месяца. НПД можно платить с доходов от выполнения работ и оказания услуг по ГПД, сдачи в аренду жилья, автомобилей и другого движимого имущества, продажи продукции собственного изготовления.</w:t>
      </w:r>
      <w:r>
        <w:rPr>
          <w:sz w:val="28"/>
          <w:szCs w:val="28"/>
        </w:rPr>
      </w:r>
      <w:r/>
    </w:p>
    <w:p>
      <w:pPr>
        <w:pStyle w:val="598"/>
        <w:ind w:firstLine="708"/>
        <w:jc w:val="both"/>
        <w:rPr>
          <w:sz w:val="28"/>
          <w:szCs w:val="28"/>
        </w:rPr>
      </w:pPr>
      <w:r>
        <w:rPr>
          <w:sz w:val="28"/>
          <w:szCs w:val="28"/>
        </w:rPr>
        <w:t xml:space="preserve">Нельзя платить НПД при перепродаже товаров, продаже собственной продукции, подлежащей обязательной маркировке, сдаче в аренду нежилых помещений. </w:t>
      </w:r>
      <w:r>
        <w:rPr>
          <w:sz w:val="28"/>
          <w:szCs w:val="28"/>
        </w:rPr>
      </w:r>
      <w:r/>
    </w:p>
    <w:p>
      <w:pPr>
        <w:pStyle w:val="598"/>
        <w:ind w:firstLine="708"/>
        <w:jc w:val="both"/>
        <w:rPr>
          <w:sz w:val="28"/>
          <w:szCs w:val="28"/>
        </w:rPr>
      </w:pPr>
      <w:r>
        <w:rPr>
          <w:sz w:val="28"/>
          <w:szCs w:val="28"/>
        </w:rPr>
        <w:t xml:space="preserve">Нельзя платить НПД, если заказчик работ или услуг - нынешний работодатель или работодатель, от которого человек уволился меньше двух лет назад. </w:t>
      </w:r>
      <w:r>
        <w:rPr>
          <w:sz w:val="28"/>
          <w:szCs w:val="28"/>
        </w:rPr>
      </w:r>
      <w:r/>
    </w:p>
    <w:p>
      <w:pPr>
        <w:pStyle w:val="598"/>
        <w:ind w:firstLine="708"/>
        <w:jc w:val="both"/>
        <w:rPr>
          <w:sz w:val="28"/>
          <w:szCs w:val="28"/>
        </w:rPr>
      </w:pPr>
      <w:r>
        <w:rPr>
          <w:sz w:val="28"/>
          <w:szCs w:val="28"/>
        </w:rPr>
        <w:t xml:space="preserve">Плательщик НПД может</w:t>
      </w:r>
      <w:r>
        <w:rPr>
          <w:sz w:val="28"/>
          <w:szCs w:val="28"/>
        </w:rPr>
        <w:t xml:space="preserve"> работать по трудовому договору только в организациях, не являющихся его заказчиком. Особенностей в оформлении приема на работу самозанятых нет. Чтобы перейти на НПД, не надо регистрироваться как ИП. Достаточно встать на учет через приложение "Мой налог". </w:t>
      </w:r>
      <w:r>
        <w:rPr>
          <w:sz w:val="28"/>
          <w:szCs w:val="28"/>
        </w:rPr>
      </w:r>
      <w:r/>
    </w:p>
    <w:p>
      <w:pPr>
        <w:pStyle w:val="598"/>
        <w:ind w:firstLine="708"/>
        <w:jc w:val="both"/>
        <w:rPr>
          <w:sz w:val="28"/>
          <w:szCs w:val="28"/>
        </w:rPr>
      </w:pPr>
      <w:r>
        <w:rPr>
          <w:sz w:val="28"/>
          <w:szCs w:val="28"/>
        </w:rPr>
        <w:t xml:space="preserve">Действующий ИП может стать самозанятым, а плательщик НПД может зарегистрироваться как ИП и сохранить статус самозанятого. Однако нельзя совмещать уплату НПД с УСН и другими спецр</w:t>
      </w:r>
      <w:r>
        <w:rPr>
          <w:sz w:val="28"/>
          <w:szCs w:val="28"/>
        </w:rPr>
        <w:t xml:space="preserve">ежимами, а также с уплатой НДФЛ по другим видам предпринимательской деятельности. ИП на УСН после регистрации в приложении "Мой налог" должен в течение месяца подать уведомление о прекращении деятельности по УСН. </w:t>
      </w:r>
      <w:r>
        <w:rPr>
          <w:sz w:val="28"/>
          <w:szCs w:val="28"/>
        </w:rPr>
      </w:r>
      <w:r/>
    </w:p>
    <w:p>
      <w:pPr>
        <w:pStyle w:val="598"/>
        <w:ind w:firstLine="708"/>
        <w:jc w:val="both"/>
        <w:rPr>
          <w:sz w:val="28"/>
          <w:szCs w:val="28"/>
        </w:rPr>
      </w:pPr>
      <w:r>
        <w:rPr>
          <w:sz w:val="28"/>
          <w:szCs w:val="28"/>
        </w:rPr>
        <w:t xml:space="preserve">С 08.09.2023 года вступил в силу приказ Фонда пенсионного и социального страхования Российской Федерации от 28.07.2023 № 1471, которым утве</w:t>
      </w:r>
      <w:r>
        <w:rPr>
          <w:sz w:val="28"/>
          <w:szCs w:val="28"/>
        </w:rPr>
        <w:t xml:space="preserve">ржден порядок возмещения расходов страхователю на выплату социального пособия на погребение, а также возмещения стоимости услуг, предоставляемых согласно гарантированному перечню услуг по погребению, специализированной службе по вопросам похоронного дела. </w:t>
      </w:r>
      <w:r>
        <w:rPr>
          <w:sz w:val="28"/>
          <w:szCs w:val="28"/>
        </w:rPr>
      </w:r>
      <w:r/>
    </w:p>
    <w:p>
      <w:pPr>
        <w:pStyle w:val="598"/>
        <w:ind w:firstLine="708"/>
        <w:jc w:val="both"/>
        <w:rPr>
          <w:sz w:val="28"/>
          <w:szCs w:val="28"/>
        </w:rPr>
      </w:pPr>
      <w:r>
        <w:rPr>
          <w:sz w:val="28"/>
          <w:szCs w:val="28"/>
        </w:rPr>
        <w:t xml:space="preserve">С указанной даты возмещение расходов страхователю на выплату социального пособия на погребение производится территориальным органом Фонда пенсионного и социального страхования Российской Федерации по месту регистрации страхователя. </w:t>
      </w:r>
      <w:r>
        <w:rPr>
          <w:sz w:val="28"/>
          <w:szCs w:val="28"/>
        </w:rPr>
      </w:r>
      <w:r/>
    </w:p>
    <w:p>
      <w:pPr>
        <w:pStyle w:val="598"/>
        <w:ind w:firstLine="708"/>
        <w:jc w:val="both"/>
        <w:rPr>
          <w:sz w:val="28"/>
          <w:szCs w:val="28"/>
        </w:rPr>
      </w:pPr>
      <w:r>
        <w:rPr>
          <w:sz w:val="28"/>
          <w:szCs w:val="28"/>
        </w:rPr>
        <w:t xml:space="preserve">В случае, если застрахованное лицо на момент наступления страхового случая было занято у нескольких страхователей, социальное пособие на погребение назначается и выплачивается одним из страхователей по выбору лица, обративш</w:t>
      </w:r>
      <w:r>
        <w:rPr>
          <w:sz w:val="28"/>
          <w:szCs w:val="28"/>
        </w:rPr>
        <w:t xml:space="preserve">егося за таким пособием. Отделение Фонда в течение 10 календарных дней со дня получения документов принимает решение о возмещении расходов страхователю на выплату социального пособия на погребение и не позднее 2 календарных дней со дня его принятия перечис</w:t>
      </w:r>
      <w:r>
        <w:rPr>
          <w:sz w:val="28"/>
          <w:szCs w:val="28"/>
        </w:rPr>
        <w:t xml:space="preserve">ляет средства на расчетный счет страхователя. При этом, социальное пособие на погребение выплачивается, если обращение за ним последовало не позднее шести месяцев со дня смерти застрахованного лица или несовершеннолетнего члена семьи застрахованного лица. </w:t>
      </w:r>
      <w:r/>
    </w:p>
    <w:p>
      <w:pPr>
        <w:pStyle w:val="608"/>
        <w:ind w:firstLine="0"/>
        <w:rPr>
          <w:sz w:val="27"/>
          <w:szCs w:val="27"/>
        </w:rPr>
      </w:pPr>
      <w:r>
        <w:rPr>
          <w:sz w:val="27"/>
          <w:szCs w:val="27"/>
        </w:rPr>
      </w:r>
      <w:r/>
    </w:p>
    <w:p>
      <w:pPr>
        <w:pStyle w:val="608"/>
        <w:ind w:firstLine="0"/>
        <w:rPr>
          <w:sz w:val="27"/>
          <w:szCs w:val="27"/>
        </w:rPr>
      </w:pPr>
      <w:r>
        <w:rPr>
          <w:sz w:val="27"/>
          <w:szCs w:val="27"/>
        </w:rPr>
      </w:r>
      <w:r/>
    </w:p>
    <w:p>
      <w:pPr>
        <w:pStyle w:val="608"/>
        <w:ind w:firstLine="0"/>
        <w:rPr>
          <w:szCs w:val="28"/>
        </w:rPr>
      </w:pPr>
      <w:r>
        <w:rPr>
          <w:szCs w:val="28"/>
        </w:rPr>
        <w:t xml:space="preserve">Межрайонный прокурор </w:t>
        <w:tab/>
        <w:tab/>
        <w:tab/>
        <w:tab/>
        <w:tab/>
        <w:tab/>
        <w:tab/>
        <w:t xml:space="preserve">М.А. Калгин</w:t>
      </w:r>
      <w:r/>
    </w:p>
    <w:p>
      <w:pPr>
        <w:pStyle w:val="608"/>
        <w:ind w:firstLine="0"/>
      </w:p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598"/>
    <w:next w:val="59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598"/>
    <w:next w:val="59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598"/>
    <w:next w:val="59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598"/>
    <w:next w:val="59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598"/>
    <w:next w:val="59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598"/>
    <w:next w:val="59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598"/>
    <w:next w:val="59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598"/>
    <w:next w:val="59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598"/>
    <w:next w:val="59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59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598"/>
    <w:next w:val="59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598"/>
    <w:next w:val="59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598"/>
    <w:next w:val="598"/>
    <w:link w:val="39"/>
    <w:uiPriority w:val="29"/>
    <w:qFormat/>
    <w:pPr>
      <w:ind w:left="720" w:right="720"/>
    </w:pPr>
    <w:rPr>
      <w:i/>
    </w:rPr>
  </w:style>
  <w:style w:type="character" w:styleId="39">
    <w:name w:val="Quote Char"/>
    <w:link w:val="38"/>
    <w:uiPriority w:val="29"/>
    <w:rPr>
      <w:i/>
    </w:rPr>
  </w:style>
  <w:style w:type="paragraph" w:styleId="40">
    <w:name w:val="Intense Quote"/>
    <w:basedOn w:val="598"/>
    <w:next w:val="59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59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59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598"/>
    <w:next w:val="59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59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59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598"/>
    <w:next w:val="598"/>
    <w:uiPriority w:val="39"/>
    <w:unhideWhenUsed/>
    <w:pPr>
      <w:ind w:left="0" w:right="0" w:firstLine="0"/>
      <w:spacing w:after="57"/>
    </w:pPr>
  </w:style>
  <w:style w:type="paragraph" w:styleId="182">
    <w:name w:val="toc 2"/>
    <w:basedOn w:val="598"/>
    <w:next w:val="598"/>
    <w:uiPriority w:val="39"/>
    <w:unhideWhenUsed/>
    <w:pPr>
      <w:ind w:left="283" w:right="0" w:firstLine="0"/>
      <w:spacing w:after="57"/>
    </w:pPr>
  </w:style>
  <w:style w:type="paragraph" w:styleId="183">
    <w:name w:val="toc 3"/>
    <w:basedOn w:val="598"/>
    <w:next w:val="598"/>
    <w:uiPriority w:val="39"/>
    <w:unhideWhenUsed/>
    <w:pPr>
      <w:ind w:left="567" w:right="0" w:firstLine="0"/>
      <w:spacing w:after="57"/>
    </w:pPr>
  </w:style>
  <w:style w:type="paragraph" w:styleId="184">
    <w:name w:val="toc 4"/>
    <w:basedOn w:val="598"/>
    <w:next w:val="598"/>
    <w:uiPriority w:val="39"/>
    <w:unhideWhenUsed/>
    <w:pPr>
      <w:ind w:left="850" w:right="0" w:firstLine="0"/>
      <w:spacing w:after="57"/>
    </w:pPr>
  </w:style>
  <w:style w:type="paragraph" w:styleId="185">
    <w:name w:val="toc 5"/>
    <w:basedOn w:val="598"/>
    <w:next w:val="598"/>
    <w:uiPriority w:val="39"/>
    <w:unhideWhenUsed/>
    <w:pPr>
      <w:ind w:left="1134" w:right="0" w:firstLine="0"/>
      <w:spacing w:after="57"/>
    </w:pPr>
  </w:style>
  <w:style w:type="paragraph" w:styleId="186">
    <w:name w:val="toc 6"/>
    <w:basedOn w:val="598"/>
    <w:next w:val="598"/>
    <w:uiPriority w:val="39"/>
    <w:unhideWhenUsed/>
    <w:pPr>
      <w:ind w:left="1417" w:right="0" w:firstLine="0"/>
      <w:spacing w:after="57"/>
    </w:pPr>
  </w:style>
  <w:style w:type="paragraph" w:styleId="187">
    <w:name w:val="toc 7"/>
    <w:basedOn w:val="598"/>
    <w:next w:val="598"/>
    <w:uiPriority w:val="39"/>
    <w:unhideWhenUsed/>
    <w:pPr>
      <w:ind w:left="1701" w:right="0" w:firstLine="0"/>
      <w:spacing w:after="57"/>
    </w:pPr>
  </w:style>
  <w:style w:type="paragraph" w:styleId="188">
    <w:name w:val="toc 8"/>
    <w:basedOn w:val="598"/>
    <w:next w:val="598"/>
    <w:uiPriority w:val="39"/>
    <w:unhideWhenUsed/>
    <w:pPr>
      <w:ind w:left="1984" w:right="0" w:firstLine="0"/>
      <w:spacing w:after="57"/>
    </w:pPr>
  </w:style>
  <w:style w:type="paragraph" w:styleId="189">
    <w:name w:val="toc 9"/>
    <w:basedOn w:val="598"/>
    <w:next w:val="598"/>
    <w:uiPriority w:val="39"/>
    <w:unhideWhenUsed/>
    <w:pPr>
      <w:ind w:left="2268" w:right="0" w:firstLine="0"/>
      <w:spacing w:after="57"/>
    </w:pPr>
  </w:style>
  <w:style w:type="paragraph" w:styleId="190">
    <w:name w:val="TOC Heading"/>
    <w:uiPriority w:val="39"/>
    <w:unhideWhenUsed/>
  </w:style>
  <w:style w:type="paragraph" w:styleId="191">
    <w:name w:val="table of figures"/>
    <w:basedOn w:val="598"/>
    <w:next w:val="598"/>
    <w:uiPriority w:val="99"/>
    <w:unhideWhenUsed/>
    <w:pPr>
      <w:spacing w:after="0" w:afterAutospacing="0"/>
    </w:pPr>
  </w:style>
  <w:style w:type="paragraph" w:styleId="598" w:default="1">
    <w:name w:val="Normal"/>
    <w:next w:val="598"/>
    <w:link w:val="598"/>
    <w:qFormat/>
    <w:rPr>
      <w:sz w:val="24"/>
      <w:szCs w:val="24"/>
      <w:lang w:val="ru-RU" w:eastAsia="ru-RU" w:bidi="ar-SA"/>
    </w:rPr>
  </w:style>
  <w:style w:type="character" w:styleId="599">
    <w:name w:val="Основной шрифт абзаца, Знак Знак"/>
    <w:next w:val="599"/>
    <w:link w:val="598"/>
    <w:semiHidden/>
  </w:style>
  <w:style w:type="table" w:styleId="600">
    <w:name w:val="Обычная таблица"/>
    <w:next w:val="600"/>
    <w:link w:val="598"/>
    <w:semiHidden/>
    <w:tblPr/>
  </w:style>
  <w:style w:type="numbering" w:styleId="601">
    <w:name w:val="Нет списка"/>
    <w:next w:val="601"/>
    <w:link w:val="598"/>
    <w:semiHidden/>
  </w:style>
  <w:style w:type="paragraph" w:styleId="602">
    <w:name w:val="UserStyle_0"/>
    <w:basedOn w:val="598"/>
    <w:next w:val="602"/>
    <w:link w:val="598"/>
    <w:pPr>
      <w:spacing w:after="160" w:line="240" w:lineRule="exact"/>
    </w:pPr>
    <w:rPr>
      <w:rFonts w:ascii="Verdana" w:hAnsi="Verdana"/>
      <w:sz w:val="20"/>
      <w:szCs w:val="20"/>
      <w:lang w:val="en-US" w:eastAsia="en-US"/>
    </w:rPr>
  </w:style>
  <w:style w:type="paragraph" w:styleId="603">
    <w:name w:val=" Char Знак Знак Char Char"/>
    <w:basedOn w:val="598"/>
    <w:next w:val="603"/>
    <w:link w:val="598"/>
    <w:pPr>
      <w:spacing w:after="160" w:line="240" w:lineRule="exact"/>
    </w:pPr>
    <w:rPr>
      <w:rFonts w:ascii="Verdana" w:hAnsi="Verdana"/>
      <w:sz w:val="20"/>
      <w:szCs w:val="20"/>
      <w:lang w:val="en-US" w:eastAsia="en-US"/>
    </w:rPr>
  </w:style>
  <w:style w:type="paragraph" w:styleId="604">
    <w:name w:val="Верхний колонтитул"/>
    <w:basedOn w:val="598"/>
    <w:next w:val="604"/>
    <w:link w:val="598"/>
    <w:pPr>
      <w:tabs>
        <w:tab w:val="center" w:pos="4677" w:leader="none"/>
        <w:tab w:val="right" w:pos="9355" w:leader="none"/>
      </w:tabs>
    </w:pPr>
  </w:style>
  <w:style w:type="paragraph" w:styleId="605">
    <w:name w:val="Нижний колонтитул"/>
    <w:basedOn w:val="598"/>
    <w:next w:val="605"/>
    <w:link w:val="598"/>
    <w:pPr>
      <w:tabs>
        <w:tab w:val="center" w:pos="4677" w:leader="none"/>
        <w:tab w:val="right" w:pos="9355" w:leader="none"/>
      </w:tabs>
    </w:pPr>
  </w:style>
  <w:style w:type="paragraph" w:styleId="606">
    <w:name w:val=" Знак Знак Знак Знак"/>
    <w:basedOn w:val="598"/>
    <w:next w:val="606"/>
    <w:link w:val="598"/>
    <w:pPr>
      <w:spacing w:after="160" w:line="240" w:lineRule="exact"/>
    </w:pPr>
    <w:rPr>
      <w:rFonts w:ascii="Verdana" w:hAnsi="Verdana"/>
      <w:sz w:val="20"/>
      <w:szCs w:val="20"/>
      <w:lang w:val="en-US" w:eastAsia="en-US"/>
    </w:rPr>
  </w:style>
  <w:style w:type="table" w:styleId="607">
    <w:name w:val="Сетка таблицы"/>
    <w:basedOn w:val="600"/>
    <w:next w:val="607"/>
    <w:link w:val="598"/>
    <w:tblPr/>
  </w:style>
  <w:style w:type="paragraph" w:styleId="608">
    <w:name w:val="Основной текст с отступом"/>
    <w:basedOn w:val="598"/>
    <w:next w:val="608"/>
    <w:link w:val="598"/>
    <w:pPr>
      <w:ind w:firstLine="720"/>
      <w:jc w:val="both"/>
    </w:pPr>
    <w:rPr>
      <w:sz w:val="28"/>
    </w:rPr>
  </w:style>
  <w:style w:type="paragraph" w:styleId="609">
    <w:name w:val=" Знак1"/>
    <w:basedOn w:val="598"/>
    <w:next w:val="609"/>
    <w:link w:val="598"/>
    <w:pPr>
      <w:spacing w:after="160" w:line="240" w:lineRule="exact"/>
    </w:pPr>
    <w:rPr>
      <w:rFonts w:ascii="Verdana" w:hAnsi="Verdana"/>
      <w:lang w:val="en-US" w:eastAsia="en-US"/>
    </w:rPr>
  </w:style>
  <w:style w:type="paragraph" w:styleId="610">
    <w:name w:val="Знак Знак Знак Знак Знак Знак Знак Знак"/>
    <w:basedOn w:val="598"/>
    <w:next w:val="610"/>
    <w:link w:val="598"/>
    <w:pPr>
      <w:spacing w:after="160" w:line="240" w:lineRule="exact"/>
    </w:pPr>
    <w:rPr>
      <w:rFonts w:ascii="Verdana" w:hAnsi="Verdana"/>
      <w:sz w:val="20"/>
      <w:szCs w:val="20"/>
      <w:lang w:val="en-US" w:eastAsia="en-US"/>
    </w:rPr>
  </w:style>
  <w:style w:type="paragraph" w:styleId="611">
    <w:name w:val="Знак"/>
    <w:basedOn w:val="598"/>
    <w:next w:val="611"/>
    <w:link w:val="598"/>
    <w:pPr>
      <w:spacing w:after="160" w:line="240" w:lineRule="exact"/>
    </w:pPr>
    <w:rPr>
      <w:rFonts w:ascii="Verdana" w:hAnsi="Verdana"/>
      <w:sz w:val="20"/>
      <w:szCs w:val="20"/>
      <w:lang w:val="en-US" w:eastAsia="en-US"/>
    </w:rPr>
  </w:style>
  <w:style w:type="paragraph" w:styleId="612">
    <w:name w:val="ConsPlusNormal"/>
    <w:next w:val="612"/>
    <w:link w:val="598"/>
    <w:rPr>
      <w:sz w:val="28"/>
      <w:szCs w:val="28"/>
      <w:lang w:val="ru-RU" w:eastAsia="ru-RU" w:bidi="ar-SA"/>
    </w:rPr>
  </w:style>
  <w:style w:type="paragraph" w:styleId="613">
    <w:name w:val="Текст выноски"/>
    <w:basedOn w:val="598"/>
    <w:next w:val="613"/>
    <w:link w:val="614"/>
    <w:rPr>
      <w:rFonts w:ascii="Segoe UI" w:hAnsi="Segoe UI" w:cs="Segoe UI"/>
      <w:sz w:val="18"/>
      <w:szCs w:val="18"/>
    </w:rPr>
  </w:style>
  <w:style w:type="character" w:styleId="614">
    <w:name w:val="Текст выноски Знак"/>
    <w:next w:val="614"/>
    <w:link w:val="613"/>
    <w:rPr>
      <w:rFonts w:ascii="Segoe UI" w:hAnsi="Segoe UI" w:cs="Segoe UI"/>
      <w:sz w:val="18"/>
      <w:szCs w:val="18"/>
    </w:rPr>
  </w:style>
  <w:style w:type="paragraph" w:styleId="615">
    <w:name w:val="Style6"/>
    <w:basedOn w:val="598"/>
    <w:next w:val="615"/>
    <w:link w:val="598"/>
    <w:pPr>
      <w:ind w:firstLine="701"/>
      <w:jc w:val="both"/>
      <w:spacing w:line="420" w:lineRule="exact"/>
      <w:widowControl w:val="off"/>
    </w:pPr>
  </w:style>
  <w:style w:type="character" w:styleId="616">
    <w:name w:val="Гиперссылка"/>
    <w:next w:val="616"/>
    <w:link w:val="598"/>
    <w:rPr>
      <w:color w:val="0000ff"/>
      <w:u w:val="single"/>
    </w:rPr>
  </w:style>
  <w:style w:type="character" w:styleId="617">
    <w:name w:val="Неразрешенное упоминание"/>
    <w:next w:val="617"/>
    <w:link w:val="598"/>
    <w:uiPriority w:val="99"/>
    <w:semiHidden/>
    <w:unhideWhenUsed/>
    <w:rPr>
      <w:color w:val="605e5c"/>
      <w:shd w:val="clear" w:color="auto" w:fill="e1dfdd"/>
    </w:rPr>
  </w:style>
  <w:style w:type="paragraph" w:styleId="618">
    <w:name w:val="Основной текст"/>
    <w:basedOn w:val="598"/>
    <w:next w:val="618"/>
    <w:link w:val="619"/>
    <w:pPr>
      <w:spacing w:after="120"/>
    </w:pPr>
  </w:style>
  <w:style w:type="character" w:styleId="619">
    <w:name w:val="Основной текст Знак"/>
    <w:next w:val="619"/>
    <w:link w:val="618"/>
    <w:rPr>
      <w:sz w:val="24"/>
      <w:szCs w:val="24"/>
    </w:rPr>
  </w:style>
  <w:style w:type="character" w:styleId="886" w:default="1">
    <w:name w:val="Default Paragraph Font"/>
    <w:uiPriority w:val="1"/>
    <w:semiHidden/>
    <w:unhideWhenUsed/>
  </w:style>
  <w:style w:type="numbering" w:styleId="887" w:default="1">
    <w:name w:val="No List"/>
    <w:uiPriority w:val="99"/>
    <w:semiHidden/>
    <w:unhideWhenUsed/>
  </w:style>
  <w:style w:type="table" w:styleId="88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3</cp:revision>
  <dcterms:created xsi:type="dcterms:W3CDTF">2023-11-22T07:22:00Z</dcterms:created>
  <dcterms:modified xsi:type="dcterms:W3CDTF">2023-12-26T09:31:02Z</dcterms:modified>
  <cp:version>1048576</cp:version>
</cp:coreProperties>
</file>