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sz w:val="27"/>
          <w:szCs w:val="27"/>
        </w:rPr>
      </w:pPr>
      <w:r>
        <w:rPr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«</w:t>
      </w:r>
      <w:r>
        <w:rPr>
          <w:b/>
          <w:sz w:val="27"/>
          <w:szCs w:val="27"/>
        </w:rPr>
        <w:t xml:space="preserve">Савеловский межрайонный</w:t>
      </w:r>
      <w:r>
        <w:rPr>
          <w:b/>
          <w:sz w:val="27"/>
          <w:szCs w:val="27"/>
        </w:rPr>
        <w:t xml:space="preserve"> прокурор г. Москвы разъясняет</w:t>
      </w:r>
      <w:r>
        <w:rPr>
          <w:b/>
          <w:sz w:val="27"/>
          <w:szCs w:val="27"/>
        </w:rPr>
        <w:t xml:space="preserve">»</w:t>
      </w:r>
      <w:r>
        <w:rPr>
          <w:b/>
          <w:sz w:val="27"/>
          <w:szCs w:val="27"/>
        </w:rPr>
        <w:t xml:space="preserve">.</w:t>
      </w:r>
      <w:r>
        <w:rPr>
          <w:b/>
          <w:sz w:val="27"/>
          <w:szCs w:val="27"/>
        </w:rPr>
      </w:r>
      <w:r/>
    </w:p>
    <w:p>
      <w:pPr>
        <w:pStyle w:val="598"/>
        <w:ind w:firstLine="708"/>
        <w:jc w:val="both"/>
        <w:rPr>
          <w:b/>
          <w:bCs/>
          <w:sz w:val="27"/>
          <w:szCs w:val="27"/>
          <w:highlight w:val="none"/>
          <w:shd w:val="clear" w:color="auto" w:fill="ffffff"/>
        </w:rPr>
      </w:pPr>
      <w:r>
        <w:rPr>
          <w:b/>
          <w:bCs/>
          <w:sz w:val="27"/>
          <w:szCs w:val="27"/>
          <w:shd w:val="clear" w:color="auto" w:fill="ffffff"/>
        </w:rPr>
        <w:t xml:space="preserve">Ограничение родительских прав.</w:t>
      </w:r>
      <w:r>
        <w:rPr>
          <w:b/>
          <w:bCs/>
        </w:rPr>
      </w:r>
    </w:p>
    <w:p>
      <w:pPr>
        <w:ind w:firstLine="708"/>
        <w:jc w:val="both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  <w:highlight w:val="none"/>
          <w:shd w:val="clear" w:color="auto" w:fill="ffffff"/>
        </w:rPr>
      </w:r>
      <w:r>
        <w:rPr>
          <w:b/>
          <w:bCs/>
          <w:sz w:val="27"/>
          <w:szCs w:val="27"/>
          <w:highlight w:val="none"/>
          <w:shd w:val="clear" w:color="auto" w:fill="ffffff"/>
        </w:rPr>
      </w:r>
    </w:p>
    <w:p>
      <w:pPr>
        <w:pStyle w:val="598"/>
        <w:ind w:firstLine="708"/>
        <w:jc w:val="both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 xml:space="preserve">Основания для ограничения родительских прав указаны </w:t>
        <w:br w:type="textWrapping" w:clear="all"/>
        <w:t xml:space="preserve">в</w:t>
      </w:r>
      <w:r>
        <w:rPr>
          <w:sz w:val="27"/>
          <w:szCs w:val="27"/>
          <w:shd w:val="clear" w:color="auto" w:fill="ffffff"/>
        </w:rPr>
        <w:t xml:space="preserve"> ст. 73 Семейного кодекса РФ. Закон устанавливает судебный порядок ограничения в родительских правах в случаях, когда пребывание ребенка в семье связано с угрозой его жизни и здоровью. Ограничение родительских права сопровождается отобранием несовершенноле</w:t>
      </w:r>
      <w:r>
        <w:rPr>
          <w:sz w:val="27"/>
          <w:szCs w:val="27"/>
          <w:shd w:val="clear" w:color="auto" w:fill="ffffff"/>
        </w:rPr>
        <w:t xml:space="preserve">тнего на основании исполнительного документа, предоставляемого судебной инстанцией после принятие решения по иску. В перечень оснований ограничения в родительских правах входят: - наличие у родителей или одного из них опасного заболевания (туберкулез откры</w:t>
      </w:r>
      <w:r>
        <w:rPr>
          <w:sz w:val="27"/>
          <w:szCs w:val="27"/>
          <w:shd w:val="clear" w:color="auto" w:fill="ffffff"/>
        </w:rPr>
        <w:t xml:space="preserve">той формы, лепра, сифилис последней стадии и другие опасные, в основном инфекционные и психические, заболевания); - асоциальное поведение и аморальные жизненные ситуации, в которые попадает родитель, если не исключена возможность его исправления – например</w:t>
      </w:r>
      <w:r>
        <w:rPr>
          <w:sz w:val="27"/>
          <w:szCs w:val="27"/>
          <w:shd w:val="clear" w:color="auto" w:fill="ffffff"/>
        </w:rPr>
        <w:t xml:space="preserve">, затяжная депрессия, в ходе которой родитель не вос</w:t>
      </w:r>
      <w:r>
        <w:rPr>
          <w:sz w:val="27"/>
          <w:szCs w:val="27"/>
          <w:shd w:val="clear" w:color="auto" w:fill="ffffff"/>
        </w:rPr>
        <w:t xml:space="preserve">питывает несовершеннолетнего, относится к нему безразлично; - тяжелая жизненная ситуация – потеря заработка, жилья (в том числе при пожаре), смерть близкого человека; - иные ситуации и основания. Ограничение в родительских правах допускается, когда отсутст</w:t>
      </w:r>
      <w:r>
        <w:rPr>
          <w:sz w:val="27"/>
          <w:szCs w:val="27"/>
          <w:shd w:val="clear" w:color="auto" w:fill="ffffff"/>
        </w:rPr>
        <w:t xml:space="preserve">вуют достаточные основания для лишения родительских прав. Ограничения устанавливается на полгода. Если родители не меняют своего образа жизни, то служба опеки или другие уполномоченные лица (воспитательные, социальные организации) обязаны обращаться в суд </w:t>
      </w:r>
      <w:r>
        <w:rPr>
          <w:sz w:val="27"/>
          <w:szCs w:val="27"/>
          <w:shd w:val="clear" w:color="auto" w:fill="ffffff"/>
        </w:rPr>
        <w:br w:type="textWrapping" w:clear="all"/>
      </w:r>
      <w:r>
        <w:rPr>
          <w:sz w:val="27"/>
          <w:szCs w:val="27"/>
          <w:shd w:val="clear" w:color="auto" w:fill="ffffff"/>
        </w:rPr>
        <w:t xml:space="preserve">с исковым заявлением о лишении родителей, либо одного из них прав на ребенка, связанных с фактом родства. Дела об ограничении родительских прав рассматриваются с обязательным участием прокурора и органов опеки. </w:t>
      </w:r>
      <w:r/>
    </w:p>
    <w:p>
      <w:pPr>
        <w:pStyle w:val="598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850" w:right="850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character" w:styleId="722" w:default="1">
    <w:name w:val="Default Paragraph Font"/>
    <w:uiPriority w:val="1"/>
    <w:semiHidden/>
    <w:unhideWhenUsed/>
  </w:style>
  <w:style w:type="numbering" w:styleId="723" w:default="1">
    <w:name w:val="No List"/>
    <w:uiPriority w:val="99"/>
    <w:semiHidden/>
    <w:unhideWhenUsed/>
  </w:style>
  <w:style w:type="table" w:styleId="7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2023-11-22T06:55:00Z</dcterms:created>
  <dcterms:modified xsi:type="dcterms:W3CDTF">2023-12-25T09:23:06Z</dcterms:modified>
  <cp:version>1048576</cp:version>
</cp:coreProperties>
</file>