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598"/>
        <w:ind w:left="0" w:right="0" w:firstLine="0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ИСПОЛНИТЕЛЬНЫЕ ПРОИЗВОДСТВА В ОТНОШЕНИИ УЧАСТНИКОВ СВО ПОДЛЕЖАТ ПРИОСТАНОВЛЕНИЮ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</w:p>
    <w:p>
      <w:pPr>
        <w:ind w:left="0" w:righ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соответствии со статьей 40 Федерального закона №229-ФЗ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«Об исполнительном производстве» исполнительные производства в отношении лиц, принимающих участие в специальной военной операции, подлежат приостановлению.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Это значит, что принудительные меры исполнения, например, арест счетов или имущества, по приостановленному исполнительному производству не применяются.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Исполнительные производства приостанавливаются до устранения обстоятельств, послуживших основанием для их приостановления, т. е. на весь срок контракта или мобилизации.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приостановления необходимо направить в подразделение судебных приставов, где ведется исполнительное производство, ходатайство о приостановлении.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</w:t>
      </w:r>
      <w:r>
        <w:rPr>
          <w:bCs/>
          <w:sz w:val="28"/>
          <w:szCs w:val="28"/>
        </w:rPr>
        <w:t xml:space="preserve">делать </w:t>
      </w:r>
      <w:r>
        <w:rPr>
          <w:bCs/>
          <w:sz w:val="28"/>
          <w:szCs w:val="28"/>
        </w:rPr>
        <w:t xml:space="preserve">это можно </w:t>
      </w:r>
      <w:r>
        <w:rPr>
          <w:bCs/>
          <w:sz w:val="28"/>
          <w:szCs w:val="28"/>
        </w:rPr>
        <w:t xml:space="preserve">любым удобным способом: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при личном посещении; - почтовым отправлением; - через портал Госуслуг или интернет-приемную на официальном сайте ФССП.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Также их можно передать через учебные центры или командиров воинских частей.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Кроме того, родственники должника также имеют возможность написать заявление о приостановлении.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Ходатайство пишется в свободной форме с указанием номера исполнительного производства и приложением документов, подтверждающих факт заключения гражданином контракта с Министерством обороны РФ.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Однако не все категории исполнительных производств подлежат приостановлению. </w:t>
      </w:r>
      <w:r>
        <w:rPr>
          <w:bCs/>
          <w:sz w:val="28"/>
          <w:szCs w:val="28"/>
        </w:rPr>
        <w:t xml:space="preserve">К таким исключениям относятся производства по взысканию алиментных платежей, а </w:t>
      </w:r>
      <w:r>
        <w:rPr>
          <w:bCs/>
          <w:sz w:val="28"/>
          <w:szCs w:val="28"/>
        </w:rPr>
        <w:t xml:space="preserve">также исполнительные производства по обязательствам о возмещении вреда в связи со смертью кормильца. Задолженнос</w:t>
      </w:r>
      <w:r>
        <w:rPr>
          <w:bCs/>
          <w:sz w:val="28"/>
          <w:szCs w:val="28"/>
        </w:rPr>
        <w:t xml:space="preserve">ть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указанным</w:t>
      </w:r>
      <w:r>
        <w:rPr>
          <w:bCs/>
          <w:sz w:val="28"/>
          <w:szCs w:val="28"/>
        </w:rPr>
        <w:t xml:space="preserve"> категориям будут продолжать взыскиваться. 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22"/>
          <w:szCs w:val="22"/>
        </w:rPr>
      </w:pPr>
      <w:r>
        <w:rPr>
          <w:sz w:val="22"/>
          <w:szCs w:val="22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table" w:styleId="91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2023-11-22T07:07:00Z</dcterms:created>
  <dcterms:modified xsi:type="dcterms:W3CDTF">2023-12-25T09:46:20Z</dcterms:modified>
  <cp:version>1048576</cp:version>
</cp:coreProperties>
</file>