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08"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Преступления в сфере информационных технологий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Преступления в сфере информационных технологий включают </w:t>
        <w:br w:type="textWrapping" w:clear="all"/>
        <w:t xml:space="preserve">как распрос</w:t>
      </w:r>
      <w:r>
        <w:rPr>
          <w:sz w:val="28"/>
        </w:rPr>
        <w:t xml:space="preserve">транение вредоносных программ, взлом паролей, кражу номеров банковских карт и других банковских реквизитов, так и распространение противоправной информации через Интернет, а также вредоносное вмешательство через компьютерные сети в работу различных систем.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действующим уголовным зако</w:t>
      </w:r>
      <w:r>
        <w:rPr>
          <w:sz w:val="28"/>
        </w:rPr>
        <w:t xml:space="preserve">нодательством Российской Федерации под преступлениями в сфере компьютерной информации понимаются совершаемые в сфере информационных процессов и посягающие на информационную безопасность деяния, предметом которых являются информация и компьютерные средства.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Уголовным кодексом Российской Федерации </w:t>
        <w:br w:type="textWrapping" w:clear="all"/>
        <w:t xml:space="preserve">(далее – УК РФ) преступлениями в сфере компьютерной информации являются: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- неправомерный доступ к компьютерной информации (ст. 272 УК РФ);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- создание, использование и распространение вредоносных компьютерных программ (ст.273 УК РФ);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- нарушение правил эксплуатации средств хранения, обработки </w:t>
        <w:br w:type="textWrapping" w:clear="all"/>
        <w:t xml:space="preserve">или передачи компьютерной информации и информационно-телекоммуникационных сетей и распространение порнографии (ст. 274 УК РФ).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Общественная опасность противоправных действий в области электронной техники и информационных технологий выражается в том,</w:t>
      </w:r>
      <w:r>
        <w:rPr>
          <w:sz w:val="28"/>
        </w:rPr>
        <w:t xml:space="preserve"> что они могут повлечь за собой нарушение деятельности автоматизированных систем управления и контроля различных объектов, серьёзное нарушение работы электронно-вычислительных машин и их систем, несанкционированные действия по уничтожению, модификации, иск</w:t>
      </w:r>
      <w:r>
        <w:rPr>
          <w:sz w:val="28"/>
        </w:rPr>
        <w:t xml:space="preserve">ажению, копированию информации и информационных ресурсов, иные формы незаконного вмешательства в информационные системы, которые способны вызвать тяжкие и необратимые последствия, связанные не только с имущественным ущербом, но и с физическим вредом людям.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Неправомерный доступ к компьютерной информации (ст. 272 УК РФ), </w:t>
        <w:br w:type="textWrapping" w:clear="all"/>
        <w:t xml:space="preserve">а также создание, использование и распространение вредоносных компьютерных программ (ст. </w:t>
      </w:r>
      <w:r>
        <w:rPr>
          <w:sz w:val="28"/>
        </w:rPr>
        <w:t xml:space="preserve">273 УК РФ) совершаются только путём действий, в то время как нарушение правил эксплуатации средств хранения, обработки или передачи компьютерной информации и информационно-телекоммуникационных сетей (ст. 274 УК РФ) – путём как действий, так и бездействием.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Кроме того, распространенный характер носят хищения, связанные </w:t>
        <w:br w:type="textWrapping" w:clear="all"/>
        <w:t xml:space="preserve">с различными способами обмана доверчивых граждан. Преступники, представляясь близкими родственниками (знакомыми) потерпевших, просят </w:t>
        <w:br w:type="textWrapping" w:clear="all"/>
      </w:r>
      <w:r>
        <w:rPr>
          <w:sz w:val="28"/>
        </w:rPr>
        <w:t xml:space="preserve">о передаче или перечислении электронным платежом оп</w:t>
      </w:r>
      <w:r>
        <w:rPr>
          <w:sz w:val="28"/>
        </w:rPr>
        <w:t xml:space="preserve">ределенной суммы денежных средств для разрешения сложившейся в их жизни неблагоприятной ситуации. К примеру, в связи с необходимостью освобождения их от уголовной ответственности. Нередко злоумышленники сами представляются сотрудниками органа правопорядка.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Дистанционные хищения совершаются посредством размещения </w:t>
        <w:br w:type="textWrapping" w:clear="all"/>
        <w:t xml:space="preserve">на открытых сайтах в сети Интернет заведомо ложных предложений об услугах и продаже товаров за денежное вознаграждение, которое в дальнейшем перечисляется на банковский счет виновного лица.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Кроме того, денежные средства могут неправомерно списываться со счетов потерпевших, когда в руки преступников попадают </w:t>
      </w:r>
      <w:r>
        <w:rPr>
          <w:sz w:val="28"/>
        </w:rPr>
        <w:t xml:space="preserve">мобильные телефоны потерпевших, с установленными на них банковскими сервисами. То же самое касается и банковских карт: похитителями совершаются покупки путем оплаты товаров бесконтактным способом, при наличии пароля доступа – деньги снимаются в банкоматах.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Социальные сети используется также для распространения вирусов. Например, злоумышленник </w:t>
      </w:r>
      <w:r>
        <w:rPr>
          <w:sz w:val="28"/>
        </w:rPr>
        <w:t xml:space="preserve">направляет e-mail, sms-сообщение или сообщение в мессенджере, во вложении которого содержится, например, важное обновление антивируса. Также это может быть выгодное предложение о покупке со скидкой или сообщение о фиктивном выигрыше с приложенной ссылкой, </w:t>
      </w:r>
      <w:r>
        <w:rPr>
          <w:sz w:val="28"/>
        </w:rPr>
        <w:t xml:space="preserve">при переходе по которой на устройство пользователя скачивается вредоносная программа. После чего преступник получает удаленное управление и возможность осуществления перечисления денежных средств со счета привязанной к абонентскому номеру банковской карты.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Такая техника остается эффективной, поскольку многие пользователи, </w:t>
        <w:br w:type="textWrapping" w:clear="all"/>
        <w:t xml:space="preserve">не раздумывая кликают по любым вложениям или ссы</w:t>
      </w:r>
      <w:r>
        <w:rPr>
          <w:sz w:val="28"/>
        </w:rPr>
        <w:t xml:space="preserve">лкам. Особенно </w:t>
        <w:br/>
        <w:t xml:space="preserve">это актуально в связи с глобальной цифровизацией общества, которая затрагивает и социально уязвимые слои населения, например, пожилых людей, испытывающих сложности при освоении современной техники, а также страдающих излишней доверчивостью.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В целях пресечения указанных видов преступлений просим всех быть предельно внимательными при осуществлении банковских операций </w:t>
        <w:br w:type="textWrapping" w:clear="all"/>
        <w:t xml:space="preserve">с использованием сети «Интернет» и мобильных телефонов. </w:t>
      </w:r>
      <w:r/>
    </w:p>
    <w:p>
      <w:pPr>
        <w:pStyle w:val="608"/>
        <w:ind w:firstLine="709"/>
        <w:jc w:val="both"/>
        <w:rPr>
          <w:sz w:val="28"/>
        </w:rPr>
      </w:pPr>
      <w:r>
        <w:rPr>
          <w:sz w:val="28"/>
        </w:rPr>
        <w:t xml:space="preserve">Не поддавайтесь на уловки мошенников и всегда перепроверяйте полученную информацию.</w:t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5"/>
      </w:pPr>
      <w:r/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08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2023-12-21T09:54:00Z</dcterms:created>
  <dcterms:modified xsi:type="dcterms:W3CDTF">2023-12-26T09:20:37Z</dcterms:modified>
  <cp:version>1048576</cp:version>
</cp:coreProperties>
</file>