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2"/>
        <w:ind w:firstLine="709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Хищение чужого имущества, совершенное с банковского счета</w:t>
      </w:r>
      <w:r/>
    </w:p>
    <w:p>
      <w:pPr>
        <w:ind w:firstLine="709"/>
        <w:rPr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Расширение применения информационных технологий в финансовом секторе способствует развитию электронных услуг и более широкому предоставлению клиентам банков удаленного доступа к своим счетам </w:t>
        <w:br w:type="textWrapping" w:clear="all"/>
        <w:t xml:space="preserve">для совершения платежей и переводов.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При применении новых форм банковского обслуживания неизбежно возникают угрозы криминального характера.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Отличительной чертой преступлений, совершаемых данными методами, является то, что многие граждане, попадая под влияние преступников, подтверждают правомерность совершения операций по их счетам даже в случаях, когда служба банк</w:t>
      </w:r>
      <w:r>
        <w:rPr>
          <w:sz w:val="28"/>
        </w:rPr>
        <w:t xml:space="preserve">а, осуществляющая мониторинг входящей и исходящей информации на предмет обнаружения мошеннических действий, определяет таковые как подозрительные. Потерпевшими от подобных посягательств, как правило, являются самые незащищенные слои населения - пенсионеры.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Кроме того, общественную опасность указанных деяний у</w:t>
      </w:r>
      <w:r>
        <w:rPr>
          <w:sz w:val="28"/>
        </w:rPr>
        <w:t xml:space="preserve">силивает специфика способа совершения преступления - использование удаленного доступа к банковскому счету при помощи технических средств, позволяющего лицу оставаться анонимным и совершать преступление из любой точки мира, имея лишь доступ к сети Интернет.</w:t>
      </w:r>
      <w:r/>
    </w:p>
    <w:p>
      <w:pPr>
        <w:pStyle w:val="622"/>
        <w:ind w:firstLine="709"/>
        <w:jc w:val="both"/>
      </w:pPr>
      <w:r>
        <w:rPr>
          <w:sz w:val="28"/>
        </w:rPr>
        <w:t xml:space="preserve">Ответной реакцией законодателя на рост таких преступлений стал федеральный закон от 23.04.2018 № 111-ФЗ, которым внесены изменения </w:t>
        <w:br w:type="textWrapping" w:clear="all"/>
        <w:t xml:space="preserve">в Уголовный кодекс Российской Федерации.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Согласно поправкам наименование ст. 159.3 УК РФ «Мошенничество </w:t>
        <w:br w:type="textWrapping" w:clear="all"/>
        <w:t xml:space="preserve">с использованием платежных карт» изменено на «Мошенничество </w:t>
        <w:br w:type="textWrapping" w:clear="all"/>
        <w:t xml:space="preserve">с использованием электронных средств платежа».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По статье 158 УК РФ («Кража») предусмотрена уголовная ответственность за кражу, совершенную с банковского счета, и электронных денежных средств (при отсутствии признаков преступления, предусмотренного ст. 159.3 УК РФ).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По статьям 159.3 </w:t>
      </w:r>
      <w:r>
        <w:rPr>
          <w:sz w:val="28"/>
        </w:rPr>
        <w:t xml:space="preserve">УК РФ и 159.6 УК РФ «Мошенничество в сфере компьютерной информации» снижено пороговое значение крупного размера </w:t>
        <w:br/>
        <w:t xml:space="preserve">с одного миллиона пятисот тысяч рублей до двухсот пятидесяти тысяч рублей, особо крупного - с шести миллионов рублей до одного миллиона рублей.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Альтернативное наказание за мошенничество с использованием электронных средств платежа в виде ареста на срок до четырех месяцев заменено лишением свободы на срок до трех лет.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Часть третья статьи 159.6 УК РФ дополнена новым квалифицирующим признаком - деяние, совершенное с банковского счета, а равно в отношении электронных денежных средств.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Изменения направлены на повышение уголовно-правовой защиты граждан и организаций. Кроме того, они позволят в целях предупреждения </w:t>
        <w:br w:type="textWrapping" w:clear="all"/>
        <w:t xml:space="preserve">и предотвращения преступлений использовать весь арсенал оперативно-розыскных мероприятий.</w:t>
      </w:r>
      <w:r/>
    </w:p>
    <w:p>
      <w:pPr>
        <w:pStyle w:val="62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777" w:default="1">
    <w:name w:val="Default Paragraph Font"/>
    <w:uiPriority w:val="1"/>
    <w:semiHidden/>
    <w:unhideWhenUsed/>
  </w:style>
  <w:style w:type="numbering" w:styleId="778" w:default="1">
    <w:name w:val="No List"/>
    <w:uiPriority w:val="99"/>
    <w:semiHidden/>
    <w:unhideWhenUsed/>
  </w:style>
  <w:style w:type="table" w:styleId="7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2023-12-21T09:52:00Z</dcterms:created>
  <dcterms:modified xsi:type="dcterms:W3CDTF">2023-12-26T09:17:26Z</dcterms:modified>
  <cp:version>1048576</cp:version>
</cp:coreProperties>
</file>