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26"/>
        <w:ind w:firstLine="709"/>
        <w:rPr>
          <w:b/>
          <w:bCs/>
          <w:highlight w:val="none"/>
        </w:rPr>
      </w:pPr>
      <w:r>
        <w:rPr>
          <w:b/>
          <w:bCs/>
          <w:szCs w:val="28"/>
        </w:rPr>
        <w:t xml:space="preserve">«Савеловский межрайонный прокурор г. Москвы разъясняет».</w:t>
      </w:r>
      <w:r>
        <w:rPr>
          <w:b/>
          <w:bCs/>
          <w:szCs w:val="28"/>
        </w:rPr>
      </w:r>
      <w:r>
        <w:rPr>
          <w:b/>
          <w:bCs/>
        </w:rPr>
      </w:r>
    </w:p>
    <w:p>
      <w:pPr>
        <w:pStyle w:val="626"/>
        <w:ind w:firstLine="709"/>
        <w:rPr>
          <w:b/>
          <w:bCs/>
        </w:rPr>
      </w:pPr>
      <w:r>
        <w:rPr>
          <w:b/>
          <w:bCs/>
          <w:szCs w:val="28"/>
          <w:highlight w:val="none"/>
        </w:rPr>
      </w:r>
      <w:r>
        <w:rPr>
          <w:b/>
          <w:bCs/>
          <w:szCs w:val="28"/>
          <w:highlight w:val="none"/>
        </w:rPr>
      </w:r>
    </w:p>
    <w:p>
      <w:pPr>
        <w:pStyle w:val="616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Действия и преступления, имеющие террористический характер регулируются исключит</w:t>
      </w:r>
      <w:r>
        <w:rPr>
          <w:color w:val="000000"/>
          <w:sz w:val="28"/>
          <w:szCs w:val="28"/>
        </w:rPr>
        <w:t xml:space="preserve">ельно Уголовным Кодексом Российской Федерации, а именно: статья 205 – террористический акт, есть совершение взрыва, поджога или иных действий, создающих опасность гибели людей, причинения значительного имущественного ущерба либо наступления иных общественн</w:t>
      </w:r>
      <w:r>
        <w:rPr>
          <w:color w:val="000000"/>
          <w:sz w:val="28"/>
          <w:szCs w:val="28"/>
        </w:rPr>
        <w:t xml:space="preserve">о опасных последствий, если эти действия совершены в целях нарушения общественной безопасности, устрашения населения либо оказания воздействия на принятие решений органами власти, а также угроза совершения указанных действий в тех же целях. К преступлениям</w:t>
      </w:r>
      <w:r>
        <w:rPr>
          <w:color w:val="000000"/>
          <w:sz w:val="28"/>
          <w:szCs w:val="28"/>
        </w:rPr>
        <w:t xml:space="preserve"> террористического характера, помимо собственно террористического акта, закон относит содействие террористической деятельности (ст. 205.1 УК РФ), публичные призывы к осуществлению террористической деятельности или публичное оправдание терроризма (ст. 205.2</w:t>
      </w:r>
      <w:r>
        <w:rPr>
          <w:color w:val="000000"/>
          <w:sz w:val="28"/>
          <w:szCs w:val="28"/>
        </w:rPr>
        <w:t xml:space="preserve"> УК РФ), захват заложника (ст. 206 УК РФ), заведомо ложное сообщение об акте терроризма (ст. 207 УК РФ), организацию незаконного вооруженного формирования или участие в нем (ст. 208 УК РФ), посягательство на жизнь государственного или общественного деятеля</w:t>
      </w:r>
      <w:r>
        <w:rPr>
          <w:color w:val="000000"/>
          <w:sz w:val="28"/>
          <w:szCs w:val="28"/>
        </w:rPr>
        <w:t xml:space="preserve"> (ст. 277 УК РФ) и нападение на лиц или учреждения, которые пользуются международной защитой (ст. 360 УК РФ). Данные преступления влекут за собой наказания в виде лишений свободы на разные сроки, вплоть до двадцати лет, а также пожизненное лишение свободы.</w:t>
      </w:r>
      <w:r/>
    </w:p>
    <w:p>
      <w:pPr>
        <w:pStyle w:val="616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соответствии с п.3 ст. 9 Федерального закона от 06.03.2006 N 35-ФЗ "О противодействии терроризму" Подразделения, воинские части и соединения Вооруженных Сил Российской Федерации, привлеченные для уч</w:t>
      </w:r>
      <w:r>
        <w:rPr>
          <w:color w:val="000000"/>
          <w:sz w:val="28"/>
          <w:szCs w:val="28"/>
        </w:rPr>
        <w:t xml:space="preserve">астия в проведении контртеррори</w:t>
      </w:r>
      <w:r>
        <w:rPr>
          <w:color w:val="000000"/>
          <w:sz w:val="28"/>
          <w:szCs w:val="28"/>
        </w:rPr>
        <w:t xml:space="preserve">стической операции, применяют боевую технику, оружие и специальные средства в соответствии с нормативными правовыми актами Российской Федерации, п.1 ст. 13 Социальная реабилитация лиц, пострадавших в результате террористического акта, а также лиц, указанны</w:t>
      </w:r>
      <w:r>
        <w:rPr>
          <w:color w:val="000000"/>
          <w:sz w:val="28"/>
          <w:szCs w:val="28"/>
        </w:rPr>
        <w:t xml:space="preserve">х в статье 20 настоящего Федерального закона, включает в себя психологическую, медицинскую и профессиональную реабилитацию, правовую помощь, содействие в трудоустройстве, предоставление жилья, проводится в целях социальной адаптации лиц, пострадавших в рез</w:t>
      </w:r>
      <w:r>
        <w:rPr>
          <w:color w:val="000000"/>
          <w:sz w:val="28"/>
          <w:szCs w:val="28"/>
        </w:rPr>
        <w:t xml:space="preserve">ультате террористического акта, и их интеграции в общество и осуществляется за счет средств федерального бюджета в порядке, определяемом Правительством Российской Федерации, а также средств бюджета субъекта Российской Федерации, на территории которого сове</w:t>
      </w:r>
      <w:r>
        <w:rPr>
          <w:color w:val="000000"/>
          <w:sz w:val="28"/>
          <w:szCs w:val="28"/>
        </w:rPr>
        <w:t xml:space="preserve">ршен террористический акт, и иных источников, предусмотренных законодательством Российской Федерации, п.п 4,5 п. 2 ст. 5 правительство Российской Федерации устанавливает обязательные для выполнения требования к  антитеррористической защищенности объектов (</w:t>
      </w:r>
      <w:r>
        <w:rPr>
          <w:color w:val="000000"/>
          <w:sz w:val="28"/>
          <w:szCs w:val="28"/>
        </w:rPr>
        <w:t xml:space="preserve">территорий), категории объектов (территорий), порядок разработки указанных требований и контроля за их выполнением, порядок разработки и форму паспорта безопасности таких объектов (территорий) (за исключением объектов транспортной инфраструктуры, транспорт</w:t>
      </w:r>
      <w:r>
        <w:rPr>
          <w:color w:val="000000"/>
          <w:sz w:val="28"/>
          <w:szCs w:val="28"/>
        </w:rPr>
        <w:t xml:space="preserve">ных средств и объектов топливно-энергетического комплекса), устанавливает порядок взаимодействия федеральных органов исполнительной власти, органов государственной власти субъектов Российской Федерации, исполнительно-распорядительных органов федеральных те</w:t>
      </w:r>
      <w:r>
        <w:rPr>
          <w:color w:val="000000"/>
          <w:sz w:val="28"/>
          <w:szCs w:val="28"/>
        </w:rPr>
        <w:t xml:space="preserve">рриторий и органов местного самоуправления, физических и юридических лиц при проверке информации об угрозе совершения террористического акта, а также информирования субъектов противодействия терроризму о выявленной угрозе совершения террористического акта.</w:t>
      </w:r>
      <w:r/>
    </w:p>
    <w:p>
      <w:pPr>
        <w:pStyle w:val="626"/>
        <w:ind w:firstLine="709"/>
        <w:jc w:val="left"/>
        <w:rPr>
          <w:color w:val="2c2d2e"/>
          <w:szCs w:val="28"/>
          <w:shd w:val="clear" w:color="auto" w:fill="ffffff"/>
        </w:rPr>
      </w:pPr>
      <w:r>
        <w:rPr>
          <w:color w:val="2c2d2e"/>
          <w:szCs w:val="28"/>
          <w:shd w:val="clear" w:color="auto" w:fill="ffffff"/>
        </w:rPr>
      </w:r>
      <w:r/>
    </w:p>
    <w:p>
      <w:pPr>
        <w:pStyle w:val="626"/>
        <w:ind w:firstLine="0"/>
        <w:rPr>
          <w:color w:val="2c2d2e"/>
          <w:szCs w:val="28"/>
          <w:shd w:val="clear" w:color="auto" w:fill="ffffff"/>
        </w:rPr>
      </w:pPr>
      <w:r>
        <w:rPr>
          <w:color w:val="2c2d2e"/>
          <w:szCs w:val="28"/>
          <w:shd w:val="clear" w:color="auto" w:fill="ffffff"/>
        </w:rPr>
      </w:r>
      <w:r/>
    </w:p>
    <w:p>
      <w:pPr>
        <w:pStyle w:val="626"/>
        <w:ind w:firstLine="0"/>
        <w:rPr>
          <w:color w:val="2c2d2e"/>
          <w:szCs w:val="28"/>
          <w:shd w:val="clear" w:color="auto" w:fill="ffffff"/>
        </w:rPr>
      </w:pPr>
      <w:r>
        <w:rPr>
          <w:color w:val="2c2d2e"/>
          <w:szCs w:val="28"/>
          <w:shd w:val="clear" w:color="auto" w:fill="ffffff"/>
        </w:rPr>
        <w:t xml:space="preserve">Межрайонный прокурор</w:t>
        <w:tab/>
        <w:tab/>
        <w:tab/>
        <w:tab/>
        <w:tab/>
        <w:tab/>
        <w:t xml:space="preserve">   </w:t>
        <w:tab/>
        <w:t xml:space="preserve">М.А. Калгин</w:t>
      </w:r>
      <w:r/>
    </w:p>
    <w:sectPr>
      <w:headerReference w:type="default" r:id="rId8"/>
      <w:footnotePr/>
      <w:endnotePr/>
      <w:type w:val="nextPage"/>
      <w:pgSz w:w="11906" w:h="16838" w:orient="portrait"/>
      <w:pgMar w:top="1134" w:right="850" w:bottom="1134" w:left="1701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204020203"/>
  </w:font>
  <w:font w:name="Verdana">
    <w:panose1 w:val="020B060403050404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22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t xml:space="preserve">2</w:t>
    </w:r>
    <w:r>
      <w:fldChar w:fldCharType="end"/>
    </w:r>
    <w:r/>
  </w:p>
  <w:p>
    <w:pPr>
      <w:pStyle w:val="622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16"/>
    <w:next w:val="616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16"/>
    <w:next w:val="616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16"/>
    <w:next w:val="616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16"/>
    <w:next w:val="616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16"/>
    <w:next w:val="616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16"/>
    <w:next w:val="616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16"/>
    <w:next w:val="616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16"/>
    <w:next w:val="616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16"/>
    <w:next w:val="616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16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16"/>
    <w:next w:val="616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616"/>
    <w:next w:val="616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616"/>
    <w:next w:val="616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16"/>
    <w:next w:val="616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16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616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616"/>
    <w:next w:val="616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16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616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616"/>
    <w:next w:val="616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16"/>
    <w:next w:val="616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16"/>
    <w:next w:val="616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16"/>
    <w:next w:val="616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16"/>
    <w:next w:val="616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16"/>
    <w:next w:val="616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16"/>
    <w:next w:val="616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16"/>
    <w:next w:val="616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16"/>
    <w:next w:val="616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16"/>
    <w:next w:val="616"/>
    <w:uiPriority w:val="99"/>
    <w:unhideWhenUsed/>
    <w:pPr>
      <w:spacing w:after="0" w:afterAutospacing="0"/>
    </w:pPr>
  </w:style>
  <w:style w:type="paragraph" w:styleId="616" w:default="1">
    <w:name w:val="Normal"/>
    <w:next w:val="616"/>
    <w:link w:val="616"/>
    <w:qFormat/>
    <w:rPr>
      <w:sz w:val="24"/>
      <w:szCs w:val="24"/>
      <w:lang w:val="ru-RU" w:eastAsia="ru-RU" w:bidi="ar-SA"/>
    </w:rPr>
  </w:style>
  <w:style w:type="character" w:styleId="617">
    <w:name w:val="Основной шрифт абзаца, Знак Знак"/>
    <w:next w:val="617"/>
    <w:link w:val="616"/>
    <w:semiHidden/>
  </w:style>
  <w:style w:type="table" w:styleId="618">
    <w:name w:val="Обычная таблица"/>
    <w:next w:val="618"/>
    <w:link w:val="616"/>
    <w:semiHidden/>
    <w:tblPr/>
  </w:style>
  <w:style w:type="numbering" w:styleId="619">
    <w:name w:val="Нет списка"/>
    <w:next w:val="619"/>
    <w:link w:val="616"/>
    <w:semiHidden/>
  </w:style>
  <w:style w:type="paragraph" w:styleId="620">
    <w:name w:val="UserStyle_0"/>
    <w:basedOn w:val="616"/>
    <w:next w:val="620"/>
    <w:link w:val="61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21">
    <w:name w:val=" Char Знак Знак Char Char"/>
    <w:basedOn w:val="616"/>
    <w:next w:val="621"/>
    <w:link w:val="61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22">
    <w:name w:val="Верхний колонтитул"/>
    <w:basedOn w:val="616"/>
    <w:next w:val="622"/>
    <w:link w:val="638"/>
    <w:uiPriority w:val="99"/>
    <w:pPr>
      <w:tabs>
        <w:tab w:val="center" w:pos="4677" w:leader="none"/>
        <w:tab w:val="right" w:pos="9355" w:leader="none"/>
      </w:tabs>
    </w:pPr>
  </w:style>
  <w:style w:type="paragraph" w:styleId="623">
    <w:name w:val="Нижний колонтитул"/>
    <w:basedOn w:val="616"/>
    <w:next w:val="623"/>
    <w:link w:val="616"/>
    <w:pPr>
      <w:tabs>
        <w:tab w:val="center" w:pos="4677" w:leader="none"/>
        <w:tab w:val="right" w:pos="9355" w:leader="none"/>
      </w:tabs>
    </w:pPr>
  </w:style>
  <w:style w:type="paragraph" w:styleId="624">
    <w:name w:val=" Знак Знак Знак Знак"/>
    <w:basedOn w:val="616"/>
    <w:next w:val="624"/>
    <w:link w:val="61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625">
    <w:name w:val="Сетка таблицы"/>
    <w:basedOn w:val="618"/>
    <w:next w:val="625"/>
    <w:link w:val="616"/>
    <w:tblPr/>
  </w:style>
  <w:style w:type="paragraph" w:styleId="626">
    <w:name w:val="Основной текст с отступом"/>
    <w:basedOn w:val="616"/>
    <w:next w:val="626"/>
    <w:link w:val="616"/>
    <w:pPr>
      <w:ind w:firstLine="720"/>
      <w:jc w:val="both"/>
    </w:pPr>
    <w:rPr>
      <w:sz w:val="28"/>
    </w:rPr>
  </w:style>
  <w:style w:type="paragraph" w:styleId="627">
    <w:name w:val=" Знак1"/>
    <w:basedOn w:val="616"/>
    <w:next w:val="627"/>
    <w:link w:val="616"/>
    <w:pPr>
      <w:spacing w:after="160" w:line="240" w:lineRule="exact"/>
    </w:pPr>
    <w:rPr>
      <w:rFonts w:ascii="Verdana" w:hAnsi="Verdana"/>
      <w:lang w:val="en-US" w:eastAsia="en-US"/>
    </w:rPr>
  </w:style>
  <w:style w:type="paragraph" w:styleId="628">
    <w:name w:val="Знак Знак Знак Знак Знак Знак Знак Знак"/>
    <w:basedOn w:val="616"/>
    <w:next w:val="628"/>
    <w:link w:val="61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29">
    <w:name w:val="Знак"/>
    <w:basedOn w:val="616"/>
    <w:next w:val="629"/>
    <w:link w:val="61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30">
    <w:name w:val="ConsPlusNormal"/>
    <w:next w:val="630"/>
    <w:link w:val="616"/>
    <w:rPr>
      <w:sz w:val="28"/>
      <w:szCs w:val="28"/>
      <w:lang w:val="ru-RU" w:eastAsia="ru-RU" w:bidi="ar-SA"/>
    </w:rPr>
  </w:style>
  <w:style w:type="paragraph" w:styleId="631">
    <w:name w:val="Текст выноски"/>
    <w:basedOn w:val="616"/>
    <w:next w:val="631"/>
    <w:link w:val="632"/>
    <w:rPr>
      <w:rFonts w:ascii="Segoe UI" w:hAnsi="Segoe UI" w:cs="Segoe UI"/>
      <w:sz w:val="18"/>
      <w:szCs w:val="18"/>
    </w:rPr>
  </w:style>
  <w:style w:type="character" w:styleId="632">
    <w:name w:val="Текст выноски Знак"/>
    <w:next w:val="632"/>
    <w:link w:val="631"/>
    <w:rPr>
      <w:rFonts w:ascii="Segoe UI" w:hAnsi="Segoe UI" w:cs="Segoe UI"/>
      <w:sz w:val="18"/>
      <w:szCs w:val="18"/>
    </w:rPr>
  </w:style>
  <w:style w:type="paragraph" w:styleId="633">
    <w:name w:val="Style6"/>
    <w:basedOn w:val="616"/>
    <w:next w:val="633"/>
    <w:link w:val="616"/>
    <w:pPr>
      <w:ind w:firstLine="701"/>
      <w:jc w:val="both"/>
      <w:spacing w:line="420" w:lineRule="exact"/>
      <w:widowControl w:val="off"/>
    </w:pPr>
  </w:style>
  <w:style w:type="character" w:styleId="634">
    <w:name w:val="Гиперссылка"/>
    <w:next w:val="634"/>
    <w:link w:val="616"/>
    <w:rPr>
      <w:color w:val="0000ff"/>
      <w:u w:val="single"/>
    </w:rPr>
  </w:style>
  <w:style w:type="character" w:styleId="635">
    <w:name w:val="Неразрешенное упоминание"/>
    <w:next w:val="635"/>
    <w:link w:val="616"/>
    <w:uiPriority w:val="99"/>
    <w:semiHidden/>
    <w:unhideWhenUsed/>
    <w:rPr>
      <w:color w:val="605e5c"/>
      <w:shd w:val="clear" w:color="auto" w:fill="e1dfdd"/>
    </w:rPr>
  </w:style>
  <w:style w:type="paragraph" w:styleId="636">
    <w:name w:val="Основной текст"/>
    <w:basedOn w:val="616"/>
    <w:next w:val="636"/>
    <w:link w:val="637"/>
    <w:pPr>
      <w:spacing w:after="120"/>
    </w:pPr>
  </w:style>
  <w:style w:type="character" w:styleId="637">
    <w:name w:val="Основной текст Знак"/>
    <w:next w:val="637"/>
    <w:link w:val="636"/>
    <w:rPr>
      <w:sz w:val="24"/>
      <w:szCs w:val="24"/>
    </w:rPr>
  </w:style>
  <w:style w:type="character" w:styleId="638">
    <w:name w:val="Верхний колонтитул Знак"/>
    <w:next w:val="638"/>
    <w:link w:val="622"/>
    <w:uiPriority w:val="99"/>
    <w:rPr>
      <w:sz w:val="24"/>
      <w:szCs w:val="24"/>
    </w:rPr>
  </w:style>
  <w:style w:type="paragraph" w:styleId="639">
    <w:name w:val="Обычный (веб)"/>
    <w:basedOn w:val="616"/>
    <w:next w:val="639"/>
    <w:link w:val="616"/>
    <w:uiPriority w:val="99"/>
    <w:unhideWhenUsed/>
    <w:pPr>
      <w:spacing w:before="100" w:beforeAutospacing="1" w:after="100" w:afterAutospacing="1"/>
    </w:pPr>
  </w:style>
  <w:style w:type="character" w:styleId="716" w:default="1">
    <w:name w:val="Default Paragraph Font"/>
    <w:uiPriority w:val="1"/>
    <w:semiHidden/>
    <w:unhideWhenUsed/>
  </w:style>
  <w:style w:type="numbering" w:styleId="717" w:default="1">
    <w:name w:val="No List"/>
    <w:uiPriority w:val="99"/>
    <w:semiHidden/>
    <w:unhideWhenUsed/>
  </w:style>
  <w:style w:type="table" w:styleId="718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Р7-Офис/7.3.0.0</Application>
  <Company>procrf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Начальнику отдела –</dc:title>
  <dc:creator>user</dc:creator>
  <cp:revision>3</cp:revision>
  <dcterms:created xsi:type="dcterms:W3CDTF">2023-12-20T15:38:00Z</dcterms:created>
  <dcterms:modified xsi:type="dcterms:W3CDTF">2023-12-26T09:46:54Z</dcterms:modified>
  <cp:version>1048576</cp:version>
</cp:coreProperties>
</file>