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Жители Москвы всё чаще стали сталкиваться с киберпреступностью. </w:t>
      </w:r>
      <w:r>
        <w:rPr>
          <w:color w:val="000000"/>
          <w:sz w:val="28"/>
          <w:szCs w:val="28"/>
        </w:rPr>
      </w:r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t xml:space="preserve">Стала распространяться новая схема обналичивания, мошенничества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и обмана жителей так называемыми дропперами. Людям поступают предложения о передаче счетов и карт третьим лицам, взамен чего обещают получение с этого дохода. Однако отвечать перед законом по совершенным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с помощью карты преступлениям будет владелец карты.</w:t>
      </w:r>
      <w:r/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«Д</w:t>
      </w:r>
      <w:r>
        <w:rPr>
          <w:color w:val="000000"/>
          <w:sz w:val="28"/>
          <w:szCs w:val="28"/>
        </w:rPr>
        <w:t xml:space="preserve">роппер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— это человек, который предоставляет свои банковские карты и счета третьим лицам, которые используют их для обналичивания или транзита денежных средств, похищенных мошенническим путем. Они по сути своей являются посредниками между жертвой и преступником. </w:t>
      </w:r>
      <w:r>
        <w:rPr>
          <w:color w:val="1c1c1c"/>
          <w:sz w:val="28"/>
          <w:szCs w:val="28"/>
          <w:shd w:val="clear" w:color="auto" w:fill="ffffff"/>
        </w:rPr>
        <w:t xml:space="preserve">Через дроппе</w:t>
      </w:r>
      <w:r>
        <w:rPr>
          <w:color w:val="1c1c1c"/>
          <w:sz w:val="28"/>
          <w:szCs w:val="28"/>
          <w:shd w:val="clear" w:color="auto" w:fill="ffffff"/>
        </w:rPr>
        <w:t xml:space="preserve">ров мошенники обналичивают похищенные деньги. Жертва злоумышленников переводит деньги не на их карту, а на карту дроппера, который позже обналичивает средства и передает организаторам, а те, в свою очередь, дают ему за это какой-то процент от украденного. </w:t>
      </w:r>
      <w:r>
        <w:rPr>
          <w:color w:val="000000"/>
          <w:sz w:val="28"/>
          <w:szCs w:val="28"/>
        </w:rPr>
        <w:t xml:space="preserve">Из-за распространения такого рода преступлений мошенникам не составляет труда найти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левый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счет для совершения преступления. </w:t>
      </w:r>
      <w:r>
        <w:rPr>
          <w:color w:val="000000"/>
          <w:sz w:val="28"/>
          <w:szCs w:val="28"/>
        </w:rPr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 важность проводимой работы по пресечению таких преступлений, для повышения ее эффективности необходимо использовать комплексный подход, не ограниченный лишь мерами уголовно-правового характера.</w:t>
      </w:r>
      <w:r/>
    </w:p>
    <w:p>
      <w:pPr>
        <w:pStyle w:val="616"/>
        <w:ind w:firstLine="709"/>
        <w:jc w:val="both"/>
        <w:rPr>
          <w:color w:val="2c2d2e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Важно помнить, что банковская карта считается собственностью финансовой орган</w:t>
      </w:r>
      <w:r>
        <w:rPr>
          <w:color w:val="000000"/>
          <w:sz w:val="28"/>
          <w:szCs w:val="28"/>
          <w:shd w:val="clear" w:color="auto" w:fill="ffffff"/>
        </w:rPr>
        <w:t xml:space="preserve">изации, ее выпустившей. Некоторые банки указывают это условие на самих карточках, и все банки — в договоре. В каждом договоре также прописывается правило, что пользоваться картой может только ее владелец — человек, имя и подпись которого указаны на карте. </w:t>
      </w:r>
      <w:r>
        <w:rPr>
          <w:color w:val="2c2d2e"/>
          <w:sz w:val="28"/>
          <w:szCs w:val="28"/>
          <w:shd w:val="clear" w:color="auto" w:fill="ffffff"/>
        </w:rPr>
        <w:t xml:space="preserve">В силу требований гражданского и банковского права передача доступа к счету третьему лицу не освобождает его владельца от негативных последствий такого предоставления.</w:t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rFonts w:ascii="Roboto" w:hAnsi="Roboto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силу </w:t>
      </w:r>
      <w:r>
        <w:rPr>
          <w:color w:val="000000"/>
          <w:sz w:val="28"/>
          <w:szCs w:val="28"/>
          <w:shd w:val="clear" w:color="auto" w:fill="ffffff"/>
        </w:rPr>
        <w:t xml:space="preserve">пункта 1 статьи 1102 ГК РФ, лицо, которое без установленных законом, иными правовыми актами или сделкой оснований приобрело или </w:t>
      </w:r>
      <w:r>
        <w:rPr>
          <w:color w:val="000000"/>
          <w:sz w:val="28"/>
          <w:szCs w:val="28"/>
          <w:shd w:val="clear" w:color="auto" w:fill="ffffff"/>
        </w:rPr>
        <w:t xml:space="preserve">сберегло имущество (приобретатель) за счет другого лица (потерпевшего), обязано возвратить последнему неосновательно приобретенное или сбереженное имущество (неосновательное обогащение), за исключением случаев, предусмотренных статьей 1109 данного Кодекса.</w:t>
      </w:r>
      <w:r>
        <w:rPr>
          <w:rFonts w:ascii="Roboto" w:hAnsi="Roboto"/>
          <w:color w:val="333333"/>
          <w:sz w:val="28"/>
          <w:szCs w:val="28"/>
        </w:rPr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rFonts w:ascii="Roboto" w:hAnsi="Roboto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Данные правила применяются независимо от того, явилось ли неосновательное обогащение результатом поведения приобретателя имущества, самого потерпевшего, третьих лиц или произошло помимо их воли.</w:t>
      </w:r>
      <w:r>
        <w:rPr>
          <w:rFonts w:ascii="Roboto" w:hAnsi="Roboto"/>
          <w:color w:val="333333"/>
          <w:sz w:val="28"/>
          <w:szCs w:val="28"/>
        </w:rPr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rFonts w:ascii="Roboto" w:hAnsi="Roboto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Таким образом, для подтверждения факта возникновения обязательства из неосновательного обогащения должна быть установлена совокупность следующих обстоятельств: сбережение имущества (неосновательное обогащ</w:t>
      </w:r>
      <w:r>
        <w:rPr>
          <w:color w:val="000000"/>
          <w:sz w:val="28"/>
          <w:szCs w:val="28"/>
          <w:shd w:val="clear" w:color="auto" w:fill="ffffff"/>
        </w:rPr>
        <w:t xml:space="preserve">ение) на стороне приобретателя; возникновение убытков на стороне потерпевшего, являющихся источником обогащения приобретателя (обогащение за счет потерпевшего); отсутствие надлежащего правового основания для наступления указанных имущественных последствий.</w:t>
      </w:r>
      <w:r>
        <w:rPr>
          <w:rFonts w:ascii="Roboto" w:hAnsi="Roboto"/>
          <w:color w:val="333333"/>
          <w:sz w:val="28"/>
          <w:szCs w:val="28"/>
        </w:rPr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 потерпевшего имеются все законные основания для взыскания с дроппера похищенных денежных средств. При подготовке искового заявления из банка потерпевшего лица </w:t>
      </w:r>
      <w:r>
        <w:rPr>
          <w:color w:val="333333"/>
          <w:sz w:val="28"/>
          <w:szCs w:val="28"/>
          <w:shd w:val="clear" w:color="auto" w:fill="ffffff"/>
        </w:rPr>
        <w:t xml:space="preserve">(банка-отправителя</w:t>
      </w:r>
      <w:r>
        <w:rPr>
          <w:color w:val="333333"/>
          <w:sz w:val="28"/>
          <w:szCs w:val="28"/>
          <w:shd w:val="clear" w:color="auto" w:fill="ffffff"/>
        </w:rPr>
        <w:t xml:space="preserve">) необходимо получить информацию о банке-получателе. Банк-получатель должен предоставить сведения о получателе денежных средств. Имея данные о получателе необходимо запросить адрес его регистрации (фактическом проживании), для указания в исковом заявлении.</w:t>
      </w:r>
      <w:r/>
    </w:p>
    <w:p>
      <w:pPr>
        <w:pStyle w:val="639"/>
        <w:ind w:firstLine="709"/>
        <w:jc w:val="both"/>
        <w:spacing w:before="0" w:beforeAutospacing="0" w:after="0" w:afterAutospacing="0"/>
        <w:shd w:val="clear" w:color="auto" w:fill="ffffff"/>
        <w:rPr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Прокуратура оказывает содействие в подготовке исковых заявлений. Кроме того, прокурор уполномочен заявить </w:t>
      </w:r>
      <w:r>
        <w:rPr>
          <w:color w:val="333333"/>
          <w:sz w:val="28"/>
          <w:szCs w:val="28"/>
          <w:shd w:val="clear" w:color="auto" w:fill="ffffff"/>
        </w:rPr>
        <w:t xml:space="preserve">гражданский иск в защиту интересов отдельных катег</w:t>
      </w:r>
      <w:r>
        <w:rPr>
          <w:color w:val="333333"/>
          <w:sz w:val="28"/>
          <w:szCs w:val="28"/>
          <w:shd w:val="clear" w:color="auto" w:fill="ffffff"/>
        </w:rPr>
        <w:t xml:space="preserve">орий потерпевших - несовершеннолетних, лиц, признанных недееспособными либо ограниченно дееспособными в порядке, установленном гражданским процессуальным законодательством, лиц, которые по иным причинам не могут сами защищать свои права и законные интересы</w:t>
      </w:r>
      <w:r>
        <w:rPr>
          <w:color w:val="000000"/>
          <w:sz w:val="28"/>
          <w:szCs w:val="28"/>
        </w:rPr>
        <w:t xml:space="preserve">.</w:t>
      </w:r>
      <w:r>
        <w:rPr>
          <w:color w:val="333333"/>
          <w:sz w:val="28"/>
          <w:szCs w:val="28"/>
          <w:shd w:val="clear" w:color="auto" w:fill="ffffff"/>
        </w:rPr>
      </w:r>
      <w:r/>
    </w:p>
    <w:p>
      <w:pPr>
        <w:pStyle w:val="626"/>
        <w:ind w:firstLine="709"/>
        <w:jc w:val="left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  <w:t xml:space="preserve">Межрайонный прокурор</w:t>
        <w:tab/>
        <w:tab/>
        <w:tab/>
        <w:tab/>
        <w:tab/>
        <w:tab/>
        <w:t xml:space="preserve">   </w:t>
        <w:tab/>
        <w:t xml:space="preserve">М.А. Калгин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2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, Знак Знак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UserStyle_0"/>
    <w:basedOn w:val="616"/>
    <w:next w:val="620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 Char Знак Знак Char Char"/>
    <w:basedOn w:val="616"/>
    <w:next w:val="621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Верхний колонтитул"/>
    <w:basedOn w:val="616"/>
    <w:next w:val="622"/>
    <w:link w:val="638"/>
    <w:uiPriority w:val="99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6"/>
    <w:next w:val="623"/>
    <w:link w:val="616"/>
    <w:pPr>
      <w:tabs>
        <w:tab w:val="center" w:pos="4677" w:leader="none"/>
        <w:tab w:val="right" w:pos="9355" w:leader="none"/>
      </w:tabs>
    </w:pPr>
  </w:style>
  <w:style w:type="paragraph" w:styleId="624">
    <w:name w:val=" Знак Знак Знак Знак"/>
    <w:basedOn w:val="616"/>
    <w:next w:val="624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5">
    <w:name w:val="Сетка таблицы"/>
    <w:basedOn w:val="618"/>
    <w:next w:val="625"/>
    <w:link w:val="616"/>
    <w:tblPr/>
  </w:style>
  <w:style w:type="paragraph" w:styleId="626">
    <w:name w:val="Основной текст с отступом"/>
    <w:basedOn w:val="616"/>
    <w:next w:val="626"/>
    <w:link w:val="616"/>
    <w:pPr>
      <w:ind w:firstLine="720"/>
      <w:jc w:val="both"/>
    </w:pPr>
    <w:rPr>
      <w:sz w:val="28"/>
    </w:rPr>
  </w:style>
  <w:style w:type="paragraph" w:styleId="627">
    <w:name w:val=" Знак1"/>
    <w:basedOn w:val="616"/>
    <w:next w:val="627"/>
    <w:link w:val="616"/>
    <w:pPr>
      <w:spacing w:after="160" w:line="240" w:lineRule="exact"/>
    </w:pPr>
    <w:rPr>
      <w:rFonts w:ascii="Verdana" w:hAnsi="Verdana"/>
      <w:lang w:val="en-US" w:eastAsia="en-US"/>
    </w:rPr>
  </w:style>
  <w:style w:type="paragraph" w:styleId="628">
    <w:name w:val="Знак Знак Знак Знак Знак Знак Знак Знак"/>
    <w:basedOn w:val="616"/>
    <w:next w:val="628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9">
    <w:name w:val="Знак"/>
    <w:basedOn w:val="616"/>
    <w:next w:val="629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0">
    <w:name w:val="ConsPlusNormal"/>
    <w:next w:val="630"/>
    <w:link w:val="616"/>
    <w:rPr>
      <w:sz w:val="28"/>
      <w:szCs w:val="28"/>
      <w:lang w:val="ru-RU" w:eastAsia="ru-RU" w:bidi="ar-SA"/>
    </w:rPr>
  </w:style>
  <w:style w:type="paragraph" w:styleId="631">
    <w:name w:val="Текст выноски"/>
    <w:basedOn w:val="616"/>
    <w:next w:val="631"/>
    <w:link w:val="632"/>
    <w:rPr>
      <w:rFonts w:ascii="Segoe UI" w:hAnsi="Segoe UI" w:cs="Segoe UI"/>
      <w:sz w:val="18"/>
      <w:szCs w:val="18"/>
    </w:rPr>
  </w:style>
  <w:style w:type="character" w:styleId="632">
    <w:name w:val="Текст выноски Знак"/>
    <w:next w:val="632"/>
    <w:link w:val="631"/>
    <w:rPr>
      <w:rFonts w:ascii="Segoe UI" w:hAnsi="Segoe UI" w:cs="Segoe UI"/>
      <w:sz w:val="18"/>
      <w:szCs w:val="18"/>
    </w:rPr>
  </w:style>
  <w:style w:type="paragraph" w:styleId="633">
    <w:name w:val="Style6"/>
    <w:basedOn w:val="616"/>
    <w:next w:val="633"/>
    <w:link w:val="616"/>
    <w:pPr>
      <w:ind w:firstLine="701"/>
      <w:jc w:val="both"/>
      <w:spacing w:line="420" w:lineRule="exact"/>
      <w:widowControl w:val="off"/>
    </w:pPr>
  </w:style>
  <w:style w:type="character" w:styleId="634">
    <w:name w:val="Гиперссылка"/>
    <w:next w:val="634"/>
    <w:link w:val="616"/>
    <w:rPr>
      <w:color w:val="0000ff"/>
      <w:u w:val="single"/>
    </w:rPr>
  </w:style>
  <w:style w:type="character" w:styleId="635">
    <w:name w:val="Неразрешенное упоминание"/>
    <w:next w:val="635"/>
    <w:link w:val="616"/>
    <w:uiPriority w:val="99"/>
    <w:semiHidden/>
    <w:unhideWhenUsed/>
    <w:rPr>
      <w:color w:val="605e5c"/>
      <w:shd w:val="clear" w:color="auto" w:fill="e1dfdd"/>
    </w:rPr>
  </w:style>
  <w:style w:type="paragraph" w:styleId="636">
    <w:name w:val="Основной текст"/>
    <w:basedOn w:val="616"/>
    <w:next w:val="636"/>
    <w:link w:val="637"/>
    <w:pPr>
      <w:spacing w:after="120"/>
    </w:pPr>
  </w:style>
  <w:style w:type="character" w:styleId="637">
    <w:name w:val="Основной текст Знак"/>
    <w:next w:val="637"/>
    <w:link w:val="636"/>
    <w:rPr>
      <w:sz w:val="24"/>
      <w:szCs w:val="24"/>
    </w:rPr>
  </w:style>
  <w:style w:type="character" w:styleId="638">
    <w:name w:val="Верхний колонтитул Знак"/>
    <w:next w:val="638"/>
    <w:link w:val="622"/>
    <w:uiPriority w:val="99"/>
    <w:rPr>
      <w:sz w:val="24"/>
      <w:szCs w:val="24"/>
    </w:rPr>
  </w:style>
  <w:style w:type="paragraph" w:styleId="639">
    <w:name w:val="Обычный (веб)"/>
    <w:basedOn w:val="616"/>
    <w:next w:val="639"/>
    <w:link w:val="616"/>
    <w:uiPriority w:val="99"/>
    <w:unhideWhenUsed/>
    <w:pPr>
      <w:spacing w:before="100" w:beforeAutospacing="1" w:after="100" w:afterAutospacing="1"/>
    </w:pPr>
  </w:style>
  <w:style w:type="character" w:styleId="762" w:default="1">
    <w:name w:val="Default Paragraph Font"/>
    <w:uiPriority w:val="1"/>
    <w:semiHidden/>
    <w:unhideWhenUsed/>
  </w:style>
  <w:style w:type="numbering" w:styleId="763" w:default="1">
    <w:name w:val="No List"/>
    <w:uiPriority w:val="99"/>
    <w:semiHidden/>
    <w:unhideWhenUsed/>
  </w:style>
  <w:style w:type="table" w:styleId="7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2023-08-04T21:40:00Z</dcterms:created>
  <dcterms:modified xsi:type="dcterms:W3CDTF">2023-12-26T09:45:49Z</dcterms:modified>
  <cp:version>1048576</cp:version>
</cp:coreProperties>
</file>