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ind w:firstLine="709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26"/>
        <w:ind w:firstLine="709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"Стратегии противодействия экстремизму в Российской Федерации до 2025 го</w:t>
      </w:r>
      <w:r>
        <w:rPr>
          <w:color w:val="000000"/>
          <w:sz w:val="28"/>
          <w:szCs w:val="28"/>
        </w:rPr>
        <w:t xml:space="preserve">да" (утв. Президентом РФ 28.11.2014 N Пр-2753), стратегия разработанная в целях обеспечения дальнейшей реализации государственной политики в сфере противодействия экстремизму в Российской Федерации, а также в целях конкретизации положений Федерального зако</w:t>
      </w:r>
      <w:r>
        <w:rPr>
          <w:color w:val="000000"/>
          <w:sz w:val="28"/>
          <w:szCs w:val="28"/>
        </w:rPr>
        <w:t xml:space="preserve">на от 25 июля 2002 г. N 114-ФЗ "О противодействии экстремистской деятельности" и Указа Президента Российской Федерации от 31 декабря 2015 г. N 683 "О Стратегии национальной безопасности Российской Федерации". Указывает на то, что одним из основных источник</w:t>
      </w:r>
      <w:r>
        <w:rPr>
          <w:color w:val="000000"/>
          <w:sz w:val="28"/>
          <w:szCs w:val="28"/>
        </w:rPr>
        <w:t xml:space="preserve">ов угроз национальной безопасности Российской Федерации является экстремистская деятельность, осуществляемая националистическими, радикальными общественными, религиозными, этническими и иными организациями и объединениями, направленная на нарушение единств</w:t>
      </w:r>
      <w:r>
        <w:rPr>
          <w:color w:val="000000"/>
          <w:sz w:val="28"/>
          <w:szCs w:val="28"/>
        </w:rPr>
        <w:t xml:space="preserve">а и территориальной целостности Российской Федерации, дестабилизацию внутриполитической и социальной обстановки в Правовой основой работы в данном направлении является Федеральный закон от 25.07.2002 №114-ФЗ «О противодействии экстремистской деятельности».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силу требований указанного закона на территории России запрещается распространение экстремистских</w:t>
      </w:r>
      <w:r>
        <w:rPr>
          <w:color w:val="000000"/>
          <w:sz w:val="28"/>
          <w:szCs w:val="28"/>
        </w:rPr>
        <w:t xml:space="preserve"> материалов, а также их производство или хранение в целях распространения. В случаях, предусмотренных законодательством России, производство, хранение или распространение экстремистских материалов является правонарушением и влечет за собой ответственность.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к установленной административной и уголовной ответственности за совершение противоправных действии экстремистского характера могут быть подвергнуты лица, достигшие шестнадцатилетнего возраста.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</w:t>
      </w:r>
      <w:r>
        <w:rPr>
          <w:color w:val="000000"/>
          <w:sz w:val="28"/>
          <w:szCs w:val="28"/>
        </w:rPr>
        <w:t xml:space="preserve">ативная ответственность установлена ст.ст. 20.3, 20.3.1, 20.29 КоАП РФ за пропаганду либо публичное демонстрирование, изготовление, а также за сбыт в целях пропаганды нацистской атрибутики или символики, либо атрибутики или символики, сходных с нацистской </w:t>
      </w:r>
      <w:r>
        <w:rPr>
          <w:color w:val="000000"/>
          <w:sz w:val="28"/>
          <w:szCs w:val="28"/>
        </w:rPr>
        <w:t xml:space="preserve">атрибутикой или символикой до степени смешения,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законами, а также за массовое распростра</w:t>
      </w:r>
      <w:r>
        <w:rPr>
          <w:color w:val="000000"/>
          <w:sz w:val="28"/>
          <w:szCs w:val="28"/>
        </w:rPr>
        <w:t xml:space="preserve">нение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распространения, за возбуждение ненависти либо вражды или унижение человеческого достоинства.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этом случае к несовершеннолетнему правонарушителю может быть применены о наказания в виде административного штрафа от одной ты</w:t>
      </w:r>
      <w:r>
        <w:rPr>
          <w:color w:val="000000"/>
          <w:sz w:val="28"/>
          <w:szCs w:val="28"/>
        </w:rPr>
        <w:t xml:space="preserve">сячи до двадцати тысяч рублей с конфискацией указанных материалов и оборудования, использованного для их производства.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Уголовным законом предусмотрена ответственность за публичные призывы к осуще</w:t>
      </w:r>
      <w:r>
        <w:rPr>
          <w:color w:val="000000"/>
          <w:sz w:val="28"/>
          <w:szCs w:val="28"/>
        </w:rPr>
        <w:t xml:space="preserve">ствлению экстремисткой деятельности (ст. 280 УК РФ), предоставление или сбор средств, оказание финансовых услуг, заведомо предназначенных для  финансирования организации, подготовки и совершения преступлений экстремистской направленности (ст. 282.3 УК РФ).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уголовная ответственность установлена за создание экстремистского сообщества и участие в нем (ст. 282.1 УК РФ), организацию </w:t>
      </w:r>
      <w:r>
        <w:rPr>
          <w:color w:val="000000"/>
          <w:sz w:val="28"/>
          <w:szCs w:val="28"/>
        </w:rPr>
        <w:t xml:space="preserve">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экстремисткой деятельности (ст. 282.2 УК РФ).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Вместе с тем следует учитывать примечания, согласно которым лицо, </w:t>
      </w:r>
      <w:r>
        <w:rPr>
          <w:color w:val="000000"/>
          <w:sz w:val="28"/>
          <w:szCs w:val="28"/>
        </w:rPr>
        <w:t xml:space="preserve">впервые совершившее преступления, предусмотренное ст.ст. 282.1, 282.2, и  добровольно прекратившее участие в деятельности экстремистского сообщества, освобождается от уголовной ответственности, если в его действиях не содержится иного состава преступления.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Главным условием применения уголовной ответственности по ст. 282 УК РФ за совершение д</w:t>
      </w:r>
      <w:r>
        <w:rPr>
          <w:color w:val="000000"/>
          <w:sz w:val="28"/>
          <w:szCs w:val="28"/>
        </w:rPr>
        <w:t xml:space="preserve">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</w:t>
      </w:r>
      <w:r>
        <w:rPr>
          <w:color w:val="000000"/>
          <w:sz w:val="28"/>
          <w:szCs w:val="28"/>
        </w:rPr>
        <w:t xml:space="preserve">совершенные публично, в том числе с использованием средств массовой информации либо информационно-телекоммуникационных сетей, включая сеть «Интернет», является привлечение лица к административной ответственности за аналогичное деяние в течение одного года.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Санкциями указанных статей предусмотрены наказания для несовершеннолетних начиная от уголовного штрафа максимальным размером в 50 тысяч рублей до лишения свободы сроком до 5 лет.</w:t>
        <w:br w:type="textWrapping" w:clear="all"/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Уголовное преследование либо назначение любого вида наказания за совершение преступлений экстремистской направленности (даже не связанного с лишением свободы) влечет ряд ограничений в дальнейшем.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Человеку, участвовавшему в осуществлении экстремистской деятельности, по решению суда может быть ограничен доступ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к государственной и муниципальной службе; к занятию охранной и частной детективной деятельностью; к военной службе по контракту; к службе в правоохранительных органах; к работе в образовательных организациях.</w:t>
      </w:r>
      <w:r/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размещении данной информации прошу уведомить межрайонную прокуратуру письмом на официальную почту с приложением ссылок размещенных материалов.</w:t>
        <w:tab/>
      </w:r>
      <w:r/>
    </w:p>
    <w:p>
      <w:pPr>
        <w:pStyle w:val="626"/>
        <w:ind w:firstLine="709"/>
        <w:jc w:val="left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  <w:t xml:space="preserve">Межрайонный прокурор</w:t>
        <w:tab/>
        <w:tab/>
        <w:tab/>
        <w:tab/>
        <w:tab/>
        <w:tab/>
        <w:t xml:space="preserve">   </w:t>
        <w:tab/>
        <w:t xml:space="preserve">М.А. Калгин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2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, Знак Знак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UserStyle_0"/>
    <w:basedOn w:val="616"/>
    <w:next w:val="620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 Char Знак Знак Char Char"/>
    <w:basedOn w:val="616"/>
    <w:next w:val="621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Верхний колонтитул"/>
    <w:basedOn w:val="616"/>
    <w:next w:val="622"/>
    <w:link w:val="638"/>
    <w:uiPriority w:val="99"/>
    <w:pPr>
      <w:tabs>
        <w:tab w:val="center" w:pos="4677" w:leader="none"/>
        <w:tab w:val="right" w:pos="9355" w:leader="none"/>
      </w:tabs>
    </w:pPr>
  </w:style>
  <w:style w:type="paragraph" w:styleId="623">
    <w:name w:val="Нижний колонтитул"/>
    <w:basedOn w:val="616"/>
    <w:next w:val="623"/>
    <w:link w:val="616"/>
    <w:pPr>
      <w:tabs>
        <w:tab w:val="center" w:pos="4677" w:leader="none"/>
        <w:tab w:val="right" w:pos="9355" w:leader="none"/>
      </w:tabs>
    </w:pPr>
  </w:style>
  <w:style w:type="paragraph" w:styleId="624">
    <w:name w:val=" Знак Знак Знак Знак"/>
    <w:basedOn w:val="616"/>
    <w:next w:val="624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25">
    <w:name w:val="Сетка таблицы"/>
    <w:basedOn w:val="618"/>
    <w:next w:val="625"/>
    <w:link w:val="616"/>
    <w:tblPr/>
  </w:style>
  <w:style w:type="paragraph" w:styleId="626">
    <w:name w:val="Основной текст с отступом"/>
    <w:basedOn w:val="616"/>
    <w:next w:val="626"/>
    <w:link w:val="616"/>
    <w:pPr>
      <w:ind w:firstLine="720"/>
      <w:jc w:val="both"/>
    </w:pPr>
    <w:rPr>
      <w:sz w:val="28"/>
    </w:rPr>
  </w:style>
  <w:style w:type="paragraph" w:styleId="627">
    <w:name w:val=" Знак1"/>
    <w:basedOn w:val="616"/>
    <w:next w:val="627"/>
    <w:link w:val="616"/>
    <w:pPr>
      <w:spacing w:after="160" w:line="240" w:lineRule="exact"/>
    </w:pPr>
    <w:rPr>
      <w:rFonts w:ascii="Verdana" w:hAnsi="Verdana"/>
      <w:lang w:val="en-US" w:eastAsia="en-US"/>
    </w:rPr>
  </w:style>
  <w:style w:type="paragraph" w:styleId="628">
    <w:name w:val="Знак Знак Знак Знак Знак Знак Знак Знак"/>
    <w:basedOn w:val="616"/>
    <w:next w:val="628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9">
    <w:name w:val="Знак"/>
    <w:basedOn w:val="616"/>
    <w:next w:val="629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0">
    <w:name w:val="ConsPlusNormal"/>
    <w:next w:val="630"/>
    <w:link w:val="616"/>
    <w:rPr>
      <w:sz w:val="28"/>
      <w:szCs w:val="28"/>
      <w:lang w:val="ru-RU" w:eastAsia="ru-RU" w:bidi="ar-SA"/>
    </w:rPr>
  </w:style>
  <w:style w:type="paragraph" w:styleId="631">
    <w:name w:val="Текст выноски"/>
    <w:basedOn w:val="616"/>
    <w:next w:val="631"/>
    <w:link w:val="632"/>
    <w:rPr>
      <w:rFonts w:ascii="Segoe UI" w:hAnsi="Segoe UI" w:cs="Segoe UI"/>
      <w:sz w:val="18"/>
      <w:szCs w:val="18"/>
    </w:rPr>
  </w:style>
  <w:style w:type="character" w:styleId="632">
    <w:name w:val="Текст выноски Знак"/>
    <w:next w:val="632"/>
    <w:link w:val="631"/>
    <w:rPr>
      <w:rFonts w:ascii="Segoe UI" w:hAnsi="Segoe UI" w:cs="Segoe UI"/>
      <w:sz w:val="18"/>
      <w:szCs w:val="18"/>
    </w:rPr>
  </w:style>
  <w:style w:type="paragraph" w:styleId="633">
    <w:name w:val="Style6"/>
    <w:basedOn w:val="616"/>
    <w:next w:val="633"/>
    <w:link w:val="616"/>
    <w:pPr>
      <w:ind w:firstLine="701"/>
      <w:jc w:val="both"/>
      <w:spacing w:line="420" w:lineRule="exact"/>
      <w:widowControl w:val="off"/>
    </w:pPr>
  </w:style>
  <w:style w:type="character" w:styleId="634">
    <w:name w:val="Гиперссылка"/>
    <w:next w:val="634"/>
    <w:link w:val="616"/>
    <w:rPr>
      <w:color w:val="0000ff"/>
      <w:u w:val="single"/>
    </w:rPr>
  </w:style>
  <w:style w:type="character" w:styleId="635">
    <w:name w:val="Неразрешенное упоминание"/>
    <w:next w:val="635"/>
    <w:link w:val="616"/>
    <w:uiPriority w:val="99"/>
    <w:semiHidden/>
    <w:unhideWhenUsed/>
    <w:rPr>
      <w:color w:val="605e5c"/>
      <w:shd w:val="clear" w:color="auto" w:fill="e1dfdd"/>
    </w:rPr>
  </w:style>
  <w:style w:type="paragraph" w:styleId="636">
    <w:name w:val="Основной текст"/>
    <w:basedOn w:val="616"/>
    <w:next w:val="636"/>
    <w:link w:val="637"/>
    <w:pPr>
      <w:spacing w:after="120"/>
    </w:pPr>
  </w:style>
  <w:style w:type="character" w:styleId="637">
    <w:name w:val="Основной текст Знак"/>
    <w:next w:val="637"/>
    <w:link w:val="636"/>
    <w:rPr>
      <w:sz w:val="24"/>
      <w:szCs w:val="24"/>
    </w:rPr>
  </w:style>
  <w:style w:type="character" w:styleId="638">
    <w:name w:val="Верхний колонтитул Знак"/>
    <w:next w:val="638"/>
    <w:link w:val="622"/>
    <w:uiPriority w:val="99"/>
    <w:rPr>
      <w:sz w:val="24"/>
      <w:szCs w:val="24"/>
    </w:rPr>
  </w:style>
  <w:style w:type="paragraph" w:styleId="639">
    <w:name w:val="Обычный (веб)"/>
    <w:basedOn w:val="616"/>
    <w:next w:val="639"/>
    <w:link w:val="616"/>
    <w:uiPriority w:val="99"/>
    <w:unhideWhenUsed/>
    <w:pPr>
      <w:spacing w:before="100" w:beforeAutospacing="1" w:after="100" w:afterAutospacing="1"/>
    </w:pPr>
  </w:style>
  <w:style w:type="character" w:styleId="758" w:default="1">
    <w:name w:val="Default Paragraph Font"/>
    <w:uiPriority w:val="1"/>
    <w:semiHidden/>
    <w:unhideWhenUsed/>
  </w:style>
  <w:style w:type="numbering" w:styleId="759" w:default="1">
    <w:name w:val="No List"/>
    <w:uiPriority w:val="99"/>
    <w:semiHidden/>
    <w:unhideWhenUsed/>
  </w:style>
  <w:style w:type="table" w:styleId="7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2023-12-20T15:40:00Z</dcterms:created>
  <dcterms:modified xsi:type="dcterms:W3CDTF">2023-12-26T09:47:39Z</dcterms:modified>
  <cp:version>1048576</cp:version>
</cp:coreProperties>
</file>