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Противодействие коррупции – одно из приоритетных направлений деятельности прокуратуры. Воспринимая коррупцию как системное явление, государство создает и реализует комплексные меры по ее противодействию.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2008 года образован совет при Президенте по противодействию корруп</w:t>
      </w:r>
      <w:r>
        <w:rPr>
          <w:bCs/>
          <w:sz w:val="28"/>
          <w:szCs w:val="28"/>
        </w:rPr>
        <w:t xml:space="preserve">ции, разработаны и утверждены Национальный план по противодействию коррупции, пакет антикоррупционных законов, ряд указов Президента, расширяющих контроль над деятельностью государственных и муниципальных служащих, руководителей государственных корпораций.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Российской Федерации правовую</w:t>
      </w:r>
      <w:r>
        <w:rPr>
          <w:bCs/>
          <w:sz w:val="28"/>
          <w:szCs w:val="28"/>
        </w:rPr>
        <w:t xml:space="preserve"> основу противодействия коррупции составляют Конституция Российской Федерации, общепризнанные принципы и нормы международного права, международные договоры Российской Федерации, Федеральные законы «О противодействии коррупции», «О противодействии легализац</w:t>
      </w:r>
      <w:r>
        <w:rPr>
          <w:bCs/>
          <w:sz w:val="28"/>
          <w:szCs w:val="28"/>
        </w:rPr>
        <w:t xml:space="preserve">ии (отмыванию) доходов, полученных преступным путем, и финансированию терроризма» и другие нормативные правовые акты, направленные на противодействие коррупции.</w:t>
        <w:br/>
        <w:t xml:space="preserve">Федеральный закон от 25.12.2008 № 273-ФЗ «О противодействии коррупции» установил принципы и осн</w:t>
      </w:r>
      <w:r>
        <w:rPr>
          <w:bCs/>
          <w:sz w:val="28"/>
          <w:szCs w:val="28"/>
        </w:rPr>
        <w:t xml:space="preserve">овы борьбы с коррупцией. Коррупцией считается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</w:t>
      </w:r>
      <w:r>
        <w:rPr>
          <w:bCs/>
          <w:sz w:val="28"/>
          <w:szCs w:val="28"/>
        </w:rPr>
        <w:t xml:space="preserve">аконным интересам общества и государства в целях получения выгоды в виде денег, ценностей, имущества или услуг имущественного характера. Как ни активна роль прокуратуры в принятии мер по противодействию коррупции, она не сможет обойтись без помощи граждан.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Коррупция - это преступление, которое влечет уголовную ответственность! Кроме того, законодательством предусмотрены экономические меры наказания в виде крупных штра</w:t>
      </w:r>
      <w:r>
        <w:rPr>
          <w:bCs/>
          <w:sz w:val="28"/>
          <w:szCs w:val="28"/>
        </w:rPr>
        <w:t xml:space="preserve">фов. К коррупционным деяниям относятся следующие преступления: злоупотребление служебным положением (статьи 285 и 286 Уголовного кодекса Российской Ф</w:t>
      </w:r>
      <w:r>
        <w:rPr>
          <w:bCs/>
          <w:sz w:val="28"/>
          <w:szCs w:val="28"/>
        </w:rPr>
        <w:t xml:space="preserve">едерации, далее - УК РФ), дача взятки (статья 291 УК РФ), получение взятки (статья 290 УК РФ), злоупотребление полномочиями (статья 201 УК РФ), коммерческий подкуп (статья 204 УК РФ), а также иные деяния, попадающие под понятие «коррупция», указанное выше.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Уголовным кодексом Российской Федерации предусматривается уголовная ответственность вплоть до лишения свободы на срок до 12 лет, как за получение взятки, так и за дачу взятки.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Лицо, давшее взятку, освобождается от уголовной ответственности, если имело место: а) вымогательство взятки со стороны должностного лица; б) если лицо добровольно сообщило органу, имеющему право возбудить уголовное дело, о даче взятки.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Необходимо знать, что получение взятки - одно из самых общественно опасных должностных преступлений, особенно если оно совершено в крупном </w:t>
      </w:r>
      <w:r>
        <w:rPr>
          <w:bCs/>
          <w:sz w:val="28"/>
          <w:szCs w:val="28"/>
        </w:rPr>
        <w:t xml:space="preserve">размере группой лиц по предварительному сговору или организованной группой с вымогательством взятки.</w:t>
        <w:br/>
        <w:t xml:space="preserve">Таким образом, попытка получить блага, преимущества, избежать неприятностей при помощи взятки имеет своим последствием уголовное преследование и наказание.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Борьба с коррупцией, прежде всего, должна выражаться в нежелании граждан участвовать в коррупционных отношениях.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Прокуратура является самым универсальным органом, призванным осуществлять противодействие коррупции и коррупционным правонарушениям средствами прокурорского реагирования. С учетом того, что </w:t>
      </w:r>
      <w:r>
        <w:rPr>
          <w:bCs/>
          <w:sz w:val="28"/>
          <w:szCs w:val="28"/>
        </w:rPr>
        <w:t xml:space="preserve">прокуратура может комплексно воздействовать на причины коррупции, осуществлять комплекс профилактических мероприятий в соответствующей сфере, ее роль в антикоррупционных мероприятиях возрастает по мере развития законодательства о противодействии коррупции.</w:t>
      </w:r>
      <w:r>
        <w:rPr>
          <w:bCs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вымогательства взятки или отсутствия возможности отказать в даче взятки (например, при угрозе жизни и здоровью) об этом необходимо сообщить в правоохранительные органы. 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2023-06-28T15:05:00Z</dcterms:created>
  <dcterms:modified xsi:type="dcterms:W3CDTF">2023-12-25T09:50:00Z</dcterms:modified>
  <cp:version>1048576</cp:version>
</cp:coreProperties>
</file>