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color w:val="000000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</w:rPr>
        <w:t xml:space="preserve">Куда и какие документы необходимо предоставить для получения автотранспорта многодетной семье, в которой воспитывается более 7 детей</w:t>
      </w:r>
      <w:r>
        <w:rPr>
          <w:b/>
          <w:bCs/>
          <w:color w:val="000000"/>
          <w:sz w:val="28"/>
          <w:szCs w:val="28"/>
        </w:rPr>
        <w:t xml:space="preserve">.</w:t>
      </w:r>
      <w:r>
        <w:rPr>
          <w:bCs/>
          <w:color w:val="000000"/>
          <w:sz w:val="28"/>
          <w:szCs w:val="28"/>
        </w:rPr>
      </w:r>
      <w:r/>
    </w:p>
    <w:p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highlight w:val="none"/>
        </w:rPr>
      </w:r>
      <w:r>
        <w:rPr>
          <w:bCs/>
          <w:color w:val="000000"/>
          <w:sz w:val="28"/>
          <w:szCs w:val="28"/>
          <w:highlight w:val="none"/>
        </w:rPr>
      </w:r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Статьей 6 Закона Саратовской области от 01.08.2005 </w:t>
      </w:r>
      <w:r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74-ЗСО </w:t>
      </w:r>
      <w:r>
        <w:rPr>
          <w:bCs/>
          <w:color w:val="000000"/>
          <w:sz w:val="28"/>
          <w:szCs w:val="28"/>
        </w:rPr>
        <w:br w:type="textWrapping" w:clear="all"/>
      </w:r>
      <w:r>
        <w:rPr>
          <w:bCs/>
          <w:color w:val="000000"/>
          <w:sz w:val="28"/>
          <w:szCs w:val="28"/>
        </w:rPr>
        <w:t xml:space="preserve">«О мерах социальной поддержки многодетных семей в Саратовской области» многодетным семьям, постоянно проживающим на территории области не менее последних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пяти лет, имеющим </w:t>
      </w:r>
      <w:r>
        <w:rPr>
          <w:bCs/>
          <w:color w:val="000000"/>
          <w:sz w:val="28"/>
          <w:szCs w:val="28"/>
        </w:rPr>
        <w:t xml:space="preserve">на момент обращения семь и более несовершеннолетних детей, в том числе усыновленных (удочеренных), и не признанным находящимися в социально опасном положении, бесплатно выделяется автотранспорт(микроавтобус) в порядке, установленном Правительством области.</w:t>
      </w:r>
      <w:r>
        <w:rPr>
          <w:bCs/>
          <w:color w:val="000000"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соответствии с п. 3 Постановления Правительства Саратовской области от 13.07.2016 </w:t>
      </w:r>
      <w:r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365-П «О порядке выделения автотранспорта (микроавтобуса) многодетным семьям, имеющим семь и более несовершенн</w:t>
      </w:r>
      <w:r>
        <w:rPr>
          <w:bCs/>
          <w:color w:val="000000"/>
          <w:sz w:val="28"/>
          <w:szCs w:val="28"/>
        </w:rPr>
        <w:t xml:space="preserve">олетних детей» заявление для выделения автотранспорта (микроавтобуса) подается одним из родителей (усыновителей), на имя которого оформлено удостоверение многодетной семьи, в органы социальной защиты населения по месту жительства (по месту пребывания) непо</w:t>
      </w:r>
      <w:r>
        <w:rPr>
          <w:bCs/>
          <w:color w:val="000000"/>
          <w:sz w:val="28"/>
          <w:szCs w:val="28"/>
        </w:rPr>
        <w:t xml:space="preserve">средственно либо через многофункциональный центр предоставления государственных и муниципальных услуг (в соответствии с заключенным соглашением о взаимодействии). Для выделения автотранспорта</w:t>
        <w:br/>
        <w:t xml:space="preserve">необходимы следующие документы (сведения, содержащиеся в указанн</w:t>
      </w:r>
      <w:r>
        <w:rPr>
          <w:bCs/>
          <w:color w:val="000000"/>
          <w:sz w:val="28"/>
          <w:szCs w:val="28"/>
        </w:rPr>
        <w:t xml:space="preserve">ых документах):</w:t>
        <w:br/>
        <w:t xml:space="preserve">а) документ, удостоверяющий личность гражданина Российской Федерации;</w:t>
        <w:br/>
        <w:t xml:space="preserve">б) документ, удостоверяющий личность иностранного гражданина, вид на жительство (разрешение на временное проживание) - для заявителя, являющегося иностранным гражданином;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в) вид на жительство (разрешение на временное проживание) - для заявителя, являющегося лицом без гражданства;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г) свидетельства </w:t>
      </w:r>
      <w:r>
        <w:rPr>
          <w:bCs/>
          <w:color w:val="000000"/>
          <w:sz w:val="28"/>
          <w:szCs w:val="28"/>
        </w:rPr>
        <w:t xml:space="preserve">о </w:t>
      </w:r>
      <w:r>
        <w:rPr>
          <w:bCs/>
          <w:color w:val="000000"/>
          <w:sz w:val="28"/>
          <w:szCs w:val="28"/>
        </w:rPr>
        <w:t xml:space="preserve">рождении всех несовершеннолетних детей, документы, подтверждающие усыновление (удочерение) несовершеннолетних детей;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д) свидетельства о государственной регистрации актов гражданского состояния, выданные компетентными органами иностранного государства, и их нотариально удостоверенный перевод на русский язык;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е) свидетельства об усыновлении, выданные органами записи актов гражданского состояния или консульскими учреждениями Российской Федерации;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ж) документ, подтверждающий регистрацию по месту жительства (по месту пребывания) заявителя и несовершеннолетних детей, - при наличии у заявителя и несовершеннолетних детей регистрации по месту жительства (по месту пребывания);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з) копия вступившего в законную силу решения суда об установлении места жительства</w:t>
      </w:r>
      <w:r>
        <w:rPr>
          <w:bCs/>
          <w:color w:val="000000"/>
          <w:sz w:val="28"/>
          <w:szCs w:val="28"/>
        </w:rPr>
        <w:t xml:space="preserve"> на территории области заявителя и (или) несовершеннолетних детей - при отсутствии у заявителя и (или) несовершеннолетних детей регистрации по месту жительства (по месту пребывания) на территории области, за исключением детей, не достигших возраста 14 лет.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Заявление и документы, предусмотренные подпунктами "а", "б", "в", "д", "е", "з", могут быть представлены по выбору заявителя на бумажных носителях либо в электронной форме с использованием единого портала государственных и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муниципальных услуг.</w:t>
      </w:r>
      <w:r>
        <w:rPr>
          <w:bCs/>
          <w:color w:val="000000"/>
          <w:sz w:val="28"/>
          <w:szCs w:val="28"/>
        </w:rPr>
      </w:r>
      <w:r/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случаях направления или представления копий документов они должны быть нотариально заверены.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48" w:default="1">
    <w:name w:val="Default Paragraph Font"/>
    <w:uiPriority w:val="1"/>
    <w:semiHidden/>
    <w:unhideWhenUsed/>
  </w:style>
  <w:style w:type="numbering" w:styleId="749" w:default="1">
    <w:name w:val="No List"/>
    <w:uiPriority w:val="99"/>
    <w:semiHidden/>
    <w:unhideWhenUsed/>
  </w:style>
  <w:style w:type="table" w:styleId="7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2023-05-29T05:20:00Z</dcterms:created>
  <dcterms:modified xsi:type="dcterms:W3CDTF">2023-12-26T09:34:58Z</dcterms:modified>
  <cp:version>1048576</cp:version>
</cp:coreProperties>
</file>