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color w:val="2c2d2e"/>
          <w:sz w:val="28"/>
          <w:szCs w:val="28"/>
          <w:highlight w:val="none"/>
        </w:rPr>
      </w:pPr>
      <w:r>
        <w:rPr>
          <w:b/>
          <w:bCs/>
          <w:color w:val="2c2d2e"/>
          <w:sz w:val="28"/>
          <w:szCs w:val="28"/>
        </w:rPr>
        <w:t xml:space="preserve">Уголовная ответственность за отказ в приеме на работу гражданина предпенсионного возраста</w:t>
      </w:r>
      <w:r>
        <w:rPr>
          <w:b/>
          <w:bCs/>
        </w:rPr>
      </w:r>
    </w:p>
    <w:p>
      <w:pPr>
        <w:ind w:firstLine="708"/>
        <w:jc w:val="both"/>
        <w:rPr>
          <w:b/>
          <w:bCs/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  <w:highlight w:val="none"/>
        </w:rPr>
      </w:r>
      <w:r>
        <w:rPr>
          <w:b/>
          <w:bCs/>
          <w:color w:val="2c2d2e"/>
          <w:sz w:val="28"/>
          <w:szCs w:val="28"/>
          <w:highlight w:val="none"/>
        </w:rPr>
      </w:r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Уголовным кодексом Российской Федерации предусмотрена уголовная ответственность за необоснованный отказ в приеме на работу или необоснованное увольнение с работы такого лица по мотивам достижения им предпенсионного возраста.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Согласно ст. 144.1 Уголовного кодекса Российской Федерации, необоснованный отказ в приеме на работу лица по м</w:t>
      </w:r>
      <w:r>
        <w:rPr>
          <w:bCs/>
          <w:color w:val="2c2d2e"/>
          <w:sz w:val="28"/>
          <w:szCs w:val="28"/>
        </w:rPr>
        <w:t xml:space="preserve">отивам достижения им предпенсионного возраста, а равно необоснованное увольнение</w:t>
      </w:r>
      <w:r>
        <w:rPr>
          <w:bCs/>
          <w:color w:val="2c2d2e"/>
          <w:sz w:val="28"/>
          <w:szCs w:val="28"/>
        </w:rPr>
        <w:t xml:space="preserve"> с работы такого лица по тем же мотивам -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часов.</w:t>
      </w:r>
      <w:r/>
    </w:p>
    <w:p>
      <w:pPr>
        <w:pStyle w:val="598"/>
        <w:ind w:firstLine="708"/>
        <w:jc w:val="both"/>
        <w:rPr>
          <w:bCs/>
          <w:color w:val="2c2d2e"/>
          <w:sz w:val="28"/>
          <w:szCs w:val="28"/>
        </w:rPr>
      </w:pPr>
      <w:r>
        <w:rPr>
          <w:bCs/>
          <w:color w:val="2c2d2e"/>
          <w:sz w:val="28"/>
          <w:szCs w:val="28"/>
        </w:rPr>
        <w:t xml:space="preserve">Согласно примечанию к ст. 144.1 У</w:t>
      </w:r>
      <w:r>
        <w:rPr>
          <w:bCs/>
          <w:color w:val="2c2d2e"/>
          <w:sz w:val="28"/>
          <w:szCs w:val="28"/>
        </w:rPr>
        <w:t xml:space="preserve">головного кодекса Российской Федерации под предпенсионным возрастом понимается возрастной период продолжительностью до пяти лет, предшествующий назначению лицу страховой пенсии по старости в соответствии с пенсионным законодательством Российской Федерации.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598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719" w:default="1">
    <w:name w:val="Default Paragraph Font"/>
    <w:uiPriority w:val="1"/>
    <w:semiHidden/>
    <w:unhideWhenUsed/>
  </w:style>
  <w:style w:type="numbering" w:styleId="720" w:default="1">
    <w:name w:val="No List"/>
    <w:uiPriority w:val="99"/>
    <w:semiHidden/>
    <w:unhideWhenUsed/>
  </w:style>
  <w:style w:type="table" w:styleId="7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2023-05-29T05:50:00Z</dcterms:created>
  <dcterms:modified xsi:type="dcterms:W3CDTF">2023-12-26T09:40:57Z</dcterms:modified>
  <cp:version>1048576</cp:version>
</cp:coreProperties>
</file>