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rPr>
          <w:b/>
          <w:bCs/>
          <w:highlight w:val="none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608"/>
        <w:rPr>
          <w:b/>
          <w:bCs/>
        </w:rPr>
      </w:pPr>
      <w:r>
        <w:rPr>
          <w:b/>
          <w:bCs/>
          <w:szCs w:val="28"/>
          <w:highlight w:val="none"/>
        </w:rPr>
      </w:r>
      <w:r>
        <w:rPr>
          <w:b/>
          <w:bCs/>
          <w:szCs w:val="28"/>
          <w:highlight w:val="none"/>
        </w:rPr>
      </w:r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ч. 4 ст. 12 Федерального закона от 25.12.2008 </w:t>
      </w:r>
      <w:r>
        <w:rPr>
          <w:bCs/>
          <w:sz w:val="28"/>
          <w:szCs w:val="28"/>
        </w:rPr>
        <w:t xml:space="preserve">№</w:t>
      </w:r>
      <w:r>
        <w:rPr>
          <w:bCs/>
          <w:sz w:val="28"/>
          <w:szCs w:val="28"/>
        </w:rPr>
        <w:t xml:space="preserve"> 273-ФЗ "О противод</w:t>
      </w:r>
      <w:r>
        <w:rPr>
          <w:bCs/>
          <w:sz w:val="28"/>
          <w:szCs w:val="28"/>
        </w:rPr>
        <w:t xml:space="preserve">ействии коррупции" работодатель при заключении трудового или гражданско-правового договора на выполнение работ (оказание услуг) стоимостью более ста тысяч рублей с гражданином, замещавшим должности государственной или муниципальной службы, перечень которых</w:t>
      </w:r>
      <w:r>
        <w:rPr>
          <w:bCs/>
          <w:sz w:val="28"/>
          <w:szCs w:val="28"/>
        </w:rPr>
        <w:t xml:space="preserve"> устанавливается нормативными правовыми актами Российской Федерации,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(работодателю</w:t>
      </w:r>
      <w:r>
        <w:rPr>
          <w:bCs/>
          <w:sz w:val="28"/>
          <w:szCs w:val="28"/>
        </w:rPr>
        <w:t xml:space="preserve">) государственного или муниципального служащего по последнему месту его службы в порядке, устанавливаемом нормативными правовыми актами Российской Федерации.</w:t>
      </w:r>
      <w:r/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невыполнение указанного требования Закона наступает административная ответственность по ст. 19.29 "Незаконное привлечение к трудовой деятельности либо к выполнению работ или оказанию услуг государственного или м</w:t>
      </w:r>
      <w:r>
        <w:rPr>
          <w:bCs/>
          <w:sz w:val="28"/>
          <w:szCs w:val="28"/>
        </w:rPr>
        <w:t xml:space="preserve">униципального служащего либо бывшего государственного или муниципального служащего" КоАП РФ в виде наложения административного штрафа на граждан в размере до 4 тысяч рублей, на должностных лиц - до 50 тысяч рублей, на юридических лиц - до 500 тысяч рублей.</w:t>
      </w:r>
      <w:r/>
    </w:p>
    <w:p>
      <w:pPr>
        <w:pStyle w:val="608"/>
        <w:ind w:firstLine="0"/>
      </w:pPr>
      <w:r>
        <w:rPr>
          <w:szCs w:val="28"/>
        </w:rPr>
      </w:r>
      <w:r>
        <w:rPr>
          <w:szCs w:val="28"/>
        </w:rPr>
      </w:r>
    </w:p>
    <w:p>
      <w:pPr>
        <w:pStyle w:val="608"/>
        <w:ind w:firstLine="0"/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paragraph" w:styleId="621">
    <w:name w:val="Обычный (веб)"/>
    <w:basedOn w:val="598"/>
    <w:next w:val="621"/>
    <w:link w:val="598"/>
  </w:style>
  <w:style w:type="character" w:styleId="726" w:default="1">
    <w:name w:val="Default Paragraph Font"/>
    <w:uiPriority w:val="1"/>
    <w:semiHidden/>
    <w:unhideWhenUsed/>
  </w:style>
  <w:style w:type="numbering" w:styleId="727" w:default="1">
    <w:name w:val="No List"/>
    <w:uiPriority w:val="99"/>
    <w:semiHidden/>
    <w:unhideWhenUsed/>
  </w:style>
  <w:style w:type="table" w:styleId="72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2023-12-21T06:56:00Z</dcterms:created>
  <dcterms:modified xsi:type="dcterms:W3CDTF">2023-12-26T07:04:11Z</dcterms:modified>
  <cp:version>1048576</cp:version>
</cp:coreProperties>
</file>