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4"/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ПРОЕКТ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</w:r>
      <w:r/>
    </w:p>
    <w:p>
      <w:pPr>
        <w:pStyle w:val="674"/>
        <w:ind w:left="708"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</w:rPr>
        <w:t xml:space="preserve"> </w:t>
      </w:r>
      <w:r/>
    </w:p>
    <w:p>
      <w:pPr>
        <w:pStyle w:val="674"/>
        <w:ind w:left="708" w:firstLine="708"/>
        <w:jc w:val="left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АППАРАТ СОВ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ЕТА ДЕПУТАТОВ</w:t>
      </w:r>
      <w:r>
        <w:rPr>
          <w:rFonts w:ascii="Times New Roman" w:hAnsi="Times New Roman" w:cs="Times New Roman"/>
        </w:rPr>
        <w:t xml:space="preserve">                           </w:t>
      </w:r>
      <w:r/>
    </w:p>
    <w:p>
      <w:pPr>
        <w:pStyle w:val="674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74"/>
        <w:jc w:val="center"/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САВЕЛОВСКИЙ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674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городе Москве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74"/>
        <w:jc w:val="center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 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/>
    </w:p>
    <w:p>
      <w:pPr>
        <w:pStyle w:val="674"/>
        <w:jc w:val="center"/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pStyle w:val="674"/>
        <w:jc w:val="center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РАСПОРЯЖЕНИЕ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67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 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674"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674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r>
      <w:r>
        <w:rPr>
          <w:b w:val="0"/>
          <w:bCs w:val="0"/>
          <w:color w:val="000000"/>
          <w:sz w:val="24"/>
          <w:szCs w:val="24"/>
        </w:rPr>
        <w:t xml:space="preserve">«___» ____ 2024 года № 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r>
      <w:r/>
    </w:p>
    <w:p>
      <w:pPr>
        <w:jc w:val="both"/>
        <w:widowControl w:val="off"/>
        <w:tabs>
          <w:tab w:val="left" w:pos="3428" w:leader="none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jc w:val="both"/>
        <w:widowControl w:val="off"/>
        <w:tabs>
          <w:tab w:val="left" w:pos="3428" w:leader="none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</w:rPr>
      </w:r>
      <w:r/>
    </w:p>
    <w:p>
      <w:pPr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постоянно действующей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экспертной комиссии аппарата Совета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муниципального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widowControl w:val="off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Савеловский в городе Москве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/>
    </w:p>
    <w:p>
      <w:pPr>
        <w:jc w:val="center"/>
        <w:spacing w:line="283" w:lineRule="atLeas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center"/>
        <w:spacing w:line="283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674"/>
        <w:ind w:firstLine="708"/>
        <w:jc w:val="both"/>
        <w:rPr>
          <w:b w:val="0"/>
          <w:bCs w:val="0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Законом города Москвы от 28.11.2001 № 67 «Об  Архивном фонде Москвы и архивах», для организации и проведения  методической и практической работы по экспертизе ценности документов,  отбору и подготовке к передаче на постоянное хранение до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кументов, образующихся в аппарате Совета депутатов муниципального округа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Савеловский в городе Москве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674"/>
        <w:ind w:firstLine="708"/>
        <w:jc w:val="both"/>
        <w:rPr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Создать постоянно действующую экспертную комиссию аппарата Совета депутатов муниципального округа Савеловский в городе Москве в составе согласно приложению 1 к настоящему распоряжению.</w:t>
      </w:r>
      <w:r>
        <w:rPr>
          <w:sz w:val="28"/>
          <w:szCs w:val="28"/>
          <w:highlight w:val="none"/>
        </w:rPr>
      </w:r>
      <w:r/>
    </w:p>
    <w:p>
      <w:pPr>
        <w:pStyle w:val="674"/>
        <w:ind w:firstLine="708"/>
        <w:jc w:val="both"/>
        <w:rPr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Утвердить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Положен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ие 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постоянно действующей экспертной комиссии аппарата Совета депутатов муниципального округа Савеловский в городе Москве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 2)</w:t>
      </w:r>
      <w:r>
        <w:rPr>
          <w:sz w:val="28"/>
          <w:szCs w:val="28"/>
          <w:highlight w:val="none"/>
        </w:rPr>
      </w:r>
      <w:r/>
    </w:p>
    <w:p>
      <w:pPr>
        <w:pStyle w:val="67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>
        <w:rPr>
          <w:rStyle w:val="838"/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распоряжение в бюллетене «Московский муниципальный вестник» и разместить на официальном сайте муниципального округа Савеловский в городе Москве в информационно-телекоммуникационной сети «Интернет»: </w:t>
      </w:r>
      <w:r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>
        <w:rPr>
          <w:rFonts w:ascii="Times New Roman" w:hAnsi="Times New Roman" w:cs="Times New Roman"/>
          <w:sz w:val="28"/>
          <w:szCs w:val="28"/>
          <w:u w:val="single"/>
        </w:rPr>
        <w:instrText xml:space="preserve"> HYPERLINK "http://www.savelovskoe.ru" </w:instrText>
      </w:r>
      <w:r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>
        <w:rPr>
          <w:rStyle w:val="839"/>
          <w:rFonts w:ascii="Times New Roman" w:hAnsi="Times New Roman" w:cs="Times New Roman"/>
          <w:color w:val="000000"/>
          <w:sz w:val="28"/>
          <w:szCs w:val="28"/>
        </w:rPr>
        <w:t xml:space="preserve">www.savelovskoe.ru</w:t>
      </w:r>
      <w:r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674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Контроль за исполнением настоящего распоряжения возложить на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главу муниципального округа Савеловский в городе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Москве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В.В. Аверьянова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jc w:val="center"/>
        <w:spacing w:line="283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jc w:val="center"/>
        <w:spacing w:line="283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/>
    </w:p>
    <w:p>
      <w:pPr>
        <w:widowControl w:val="off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jc w:val="both"/>
        <w:widowControl w:val="off"/>
        <w:rPr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округа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        </w:t>
      </w:r>
      <w:r>
        <w:rPr>
          <w:b w:val="0"/>
          <w:bCs w:val="0"/>
          <w:sz w:val="28"/>
          <w:szCs w:val="28"/>
        </w:rPr>
      </w:r>
      <w:r/>
    </w:p>
    <w:p>
      <w:pPr>
        <w:jc w:val="both"/>
        <w:widowControl w:val="off"/>
        <w:rPr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Савеловский в городе Москве</w:t>
      </w:r>
      <w:r>
        <w:rPr>
          <w:b w:val="0"/>
          <w:bCs w:val="0"/>
          <w:sz w:val="28"/>
          <w:szCs w:val="28"/>
        </w:rPr>
        <w:tab/>
        <w:tab/>
        <w:tab/>
        <w:t xml:space="preserve">                              </w:t>
        <w:tab/>
      </w:r>
      <w:r>
        <w:rPr>
          <w:color w:val="000000"/>
          <w:sz w:val="28"/>
          <w:szCs w:val="28"/>
        </w:rPr>
        <w:t xml:space="preserve">В.В. Аверьянов</w:t>
      </w:r>
      <w:r>
        <w:rPr>
          <w:b w:val="0"/>
          <w:bCs w:val="0"/>
          <w:sz w:val="28"/>
          <w:szCs w:val="28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 </w:t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 </w:t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</w:rPr>
        <w:t xml:space="preserve"> </w:t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</w:rPr>
      </w:r>
      <w:r/>
    </w:p>
    <w:p>
      <w:pPr>
        <w:ind w:left="0" w:firstLine="0"/>
        <w:rPr>
          <w:b w:val="0"/>
          <w:bCs w:val="0"/>
          <w:color w:val="000000"/>
          <w:sz w:val="24"/>
          <w:szCs w:val="24"/>
          <w:highlight w:val="none"/>
        </w:rPr>
      </w:pPr>
      <w:r>
        <w:rPr>
          <w:b w:val="0"/>
          <w:bCs w:val="0"/>
          <w:color w:val="000000"/>
          <w:sz w:val="24"/>
          <w:szCs w:val="24"/>
          <w:highlight w:val="none"/>
        </w:rPr>
      </w:r>
      <w:r>
        <w:rPr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ind w:left="0" w:firstLine="0"/>
        <w:rPr>
          <w:b w:val="0"/>
          <w:bCs w:val="0"/>
          <w:color w:val="000000"/>
          <w:sz w:val="24"/>
          <w:szCs w:val="24"/>
          <w:highlight w:val="none"/>
        </w:rPr>
      </w:pPr>
      <w:r>
        <w:rPr>
          <w:b w:val="0"/>
          <w:bCs w:val="0"/>
          <w:color w:val="000000"/>
          <w:sz w:val="24"/>
          <w:szCs w:val="24"/>
          <w:highlight w:val="none"/>
        </w:rPr>
      </w:r>
      <w:r>
        <w:rPr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ind w:left="5664" w:firstLine="708"/>
        <w:rPr>
          <w:b w:val="0"/>
          <w:bCs w:val="0"/>
          <w:color w:val="000000"/>
          <w:sz w:val="24"/>
          <w:szCs w:val="24"/>
          <w:highlight w:val="none"/>
        </w:rPr>
      </w:pPr>
      <w:r>
        <w:rPr>
          <w:b w:val="0"/>
          <w:bCs w:val="0"/>
          <w:color w:val="000000"/>
          <w:sz w:val="24"/>
          <w:szCs w:val="24"/>
        </w:rPr>
        <w:t xml:space="preserve">Приложение</w:t>
      </w:r>
      <w:r>
        <w:rPr>
          <w:b w:val="0"/>
          <w:bCs w:val="0"/>
          <w:color w:val="000000"/>
          <w:sz w:val="24"/>
          <w:szCs w:val="24"/>
          <w:highlight w:val="none"/>
        </w:rPr>
        <w:t xml:space="preserve">1</w:t>
      </w:r>
      <w:r>
        <w:rPr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 xml:space="preserve">к распоряжению аппарата</w:t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 xml:space="preserve">Совета депутатов </w:t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 xml:space="preserve">муниципального округа</w:t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 xml:space="preserve">Савеловский в городе Москве</w:t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 xml:space="preserve">от «___» ____ 2024 года № ___</w:t>
      </w:r>
      <w:r/>
    </w:p>
    <w:p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 </w:t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 </w:t>
      </w:r>
      <w:r>
        <w:rPr>
          <w:b w:val="0"/>
          <w:bCs w:val="0"/>
          <w:sz w:val="24"/>
          <w:szCs w:val="24"/>
        </w:rPr>
      </w:r>
      <w:r/>
    </w:p>
    <w:p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 </w:t>
      </w:r>
      <w:r>
        <w:rPr>
          <w:b w:val="0"/>
          <w:bCs w:val="0"/>
          <w:sz w:val="24"/>
          <w:szCs w:val="24"/>
        </w:rPr>
      </w:r>
      <w:r/>
    </w:p>
    <w:p>
      <w:pPr>
        <w:pStyle w:val="674"/>
        <w:jc w:val="center"/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74"/>
        <w:jc w:val="center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постоянно действующей экспертной комиссии аппарата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74"/>
        <w:jc w:val="center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муниципального округа Савеловски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городе Москве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674"/>
        <w:jc w:val="center"/>
        <w:outlineLvl w:val="0"/>
      </w:pPr>
      <w:r/>
      <w:r/>
    </w:p>
    <w:p>
      <w:pPr>
        <w:pStyle w:val="674"/>
        <w:jc w:val="center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2" w:firstLine="0"/>
        <w:jc w:val="both"/>
        <w:spacing w:after="264" w:line="240" w:lineRule="auto"/>
        <w:shd w:val="clear" w:color="auto" w:fill="ffffff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  <w:tab/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Аверьянов Виктор Васильевич, глава  муниципального </w:t>
        <w:tab/>
        <w:tab/>
        <w:tab/>
        <w:tab/>
        <w:t xml:space="preserve">     округа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Савеловски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городе Москве.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2" w:firstLine="0"/>
        <w:jc w:val="both"/>
        <w:spacing w:after="264" w:line="240" w:lineRule="auto"/>
        <w:shd w:val="clear" w:color="auto" w:fill="ffffff"/>
        <w:rPr>
          <w:b w:val="0"/>
          <w:bCs w:val="0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Секретарь: </w:t>
        <w:tab/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Швед Елена Александровна, советник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организационной </w:t>
        <w:tab/>
        <w:tab/>
        <w:tab/>
        <w:t xml:space="preserve">     работе и информированию.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</w:rPr>
      </w:r>
      <w:r/>
    </w:p>
    <w:p>
      <w:pPr>
        <w:pStyle w:val="674"/>
        <w:jc w:val="both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Члены  комиссии: </w:t>
      </w:r>
      <w:r>
        <w:rPr>
          <w:rFonts w:ascii="Times New Roman" w:hAnsi="Times New Roman" w:cs="Times New Roman"/>
          <w:sz w:val="28"/>
          <w:szCs w:val="28"/>
        </w:rPr>
        <w:t xml:space="preserve">Одоевская Светлана Николаевна, </w:t>
      </w:r>
      <w:r>
        <w:rPr>
          <w:rFonts w:ascii="Times New Roman" w:hAnsi="Times New Roman" w:cs="Times New Roman"/>
          <w:sz w:val="28"/>
          <w:szCs w:val="28"/>
        </w:rPr>
        <w:t xml:space="preserve"> юрисконсульт-советник;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674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  <w:tab/>
        <w:t xml:space="preserve">    Бондаренко Юлия Владимировна, бухгалтер-советник.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-993" w:right="-1702"/>
        <w:jc w:val="both"/>
        <w:spacing w:after="264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outlineLvl w:val="0"/>
      </w:pPr>
      <w:r>
        <w:rPr>
          <w:rFonts w:ascii="Arial" w:hAnsi="Arial" w:eastAsia="Times New Roman" w:cs="Arial"/>
          <w:b/>
          <w:bCs/>
          <w:color w:val="000000"/>
          <w:sz w:val="36"/>
          <w:szCs w:val="36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 </w:t>
      </w:r>
      <w:r>
        <w:rPr>
          <w:b w:val="0"/>
          <w:bCs w:val="0"/>
          <w:sz w:val="24"/>
          <w:szCs w:val="24"/>
        </w:rPr>
      </w:r>
      <w:r/>
    </w:p>
    <w:p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 </w:t>
      </w:r>
      <w:r>
        <w:rPr>
          <w:b w:val="0"/>
          <w:bCs w:val="0"/>
          <w:sz w:val="24"/>
          <w:szCs w:val="24"/>
        </w:rPr>
      </w:r>
      <w:r/>
    </w:p>
    <w:p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 </w:t>
      </w:r>
      <w:r>
        <w:rPr>
          <w:b w:val="0"/>
          <w:bCs w:val="0"/>
          <w:sz w:val="24"/>
          <w:szCs w:val="24"/>
        </w:rPr>
      </w:r>
      <w:r/>
    </w:p>
    <w:p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 </w:t>
      </w:r>
      <w:r>
        <w:rPr>
          <w:b w:val="0"/>
          <w:bCs w:val="0"/>
          <w:sz w:val="24"/>
          <w:szCs w:val="24"/>
        </w:rPr>
      </w:r>
      <w:r/>
    </w:p>
    <w:p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 </w:t>
      </w:r>
      <w:r>
        <w:rPr>
          <w:b w:val="0"/>
          <w:bCs w:val="0"/>
          <w:sz w:val="24"/>
          <w:szCs w:val="24"/>
        </w:rPr>
      </w:r>
      <w:r/>
    </w:p>
    <w:p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 </w:t>
      </w:r>
      <w:r>
        <w:rPr>
          <w:b w:val="0"/>
          <w:bCs w:val="0"/>
          <w:sz w:val="24"/>
          <w:szCs w:val="24"/>
        </w:rPr>
      </w:r>
      <w:r/>
    </w:p>
    <w:p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</w:rPr>
      </w:r>
      <w:r/>
    </w:p>
    <w:p>
      <w:pPr>
        <w:jc w:val="center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jc w:val="center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jc w:val="center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jc w:val="center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jc w:val="center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jc w:val="center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jc w:val="center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jc w:val="center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jc w:val="center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jc w:val="center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jc w:val="center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jc w:val="center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jc w:val="center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jc w:val="center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jc w:val="center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jc w:val="lef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ind w:left="5664" w:firstLine="708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Приложение 2</w:t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 xml:space="preserve">к распоряжению аппарата</w:t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 xml:space="preserve">Совета депутатов </w:t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 xml:space="preserve">муниципального округа</w:t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 xml:space="preserve">Савеловский в городе Москве</w:t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b w:val="0"/>
          <w:bCs w:val="0"/>
          <w:color w:val="000000"/>
          <w:sz w:val="24"/>
          <w:szCs w:val="24"/>
        </w:rPr>
        <w:t xml:space="preserve">«___» ____ 2024 года № ___</w:t>
      </w:r>
      <w:r/>
      <w:r>
        <w:rPr>
          <w:b w:val="0"/>
          <w:bCs w:val="0"/>
          <w:color w:val="000000"/>
          <w:sz w:val="24"/>
          <w:szCs w:val="24"/>
        </w:rPr>
      </w:r>
      <w:r/>
    </w:p>
    <w:p>
      <w:pPr>
        <w:jc w:val="right"/>
        <w:spacing w:after="200" w:line="276" w:lineRule="auto"/>
        <w:tabs>
          <w:tab w:val="left" w:pos="0" w:leader="none"/>
          <w:tab w:val="left" w:pos="959" w:leader="none"/>
          <w:tab w:val="left" w:pos="1918" w:leader="none"/>
          <w:tab w:val="left" w:pos="2877" w:leader="none"/>
          <w:tab w:val="left" w:pos="3836" w:leader="none"/>
          <w:tab w:val="left" w:pos="4795" w:leader="none"/>
          <w:tab w:val="left" w:pos="5754" w:leader="none"/>
          <w:tab w:val="left" w:pos="6713" w:leader="none"/>
          <w:tab w:val="left" w:pos="7672" w:leader="none"/>
          <w:tab w:val="left" w:pos="8631" w:leader="none"/>
        </w:tabs>
        <w:rPr>
          <w:bCs w:val="0"/>
        </w:rPr>
      </w:pPr>
      <w:r>
        <w:rPr>
          <w:bCs w:val="0"/>
        </w:rPr>
      </w:r>
      <w:r>
        <w:rPr>
          <w:bCs w:val="0"/>
        </w:rPr>
      </w:r>
      <w:r/>
    </w:p>
    <w:p>
      <w:pPr>
        <w:pStyle w:val="674"/>
        <w:jc w:val="both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/>
    </w:p>
    <w:p>
      <w:pPr>
        <w:pStyle w:val="674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</w:t>
      </w:r>
      <w:r>
        <w:rPr>
          <w:b/>
          <w:bCs/>
        </w:rPr>
      </w:r>
      <w:r/>
    </w:p>
    <w:p>
      <w:pPr>
        <w:pStyle w:val="674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постоянно действующей экспертной 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аппарата Совета депутатов муниципального округа Савеловский в городе Москве</w:t>
      </w:r>
      <w:r>
        <w:rPr>
          <w:b/>
          <w:bCs/>
        </w:rPr>
      </w:r>
      <w:r/>
    </w:p>
    <w:p>
      <w:pPr>
        <w:pStyle w:val="674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</w:r>
      <w:r>
        <w:rPr>
          <w:b w:val="0"/>
          <w:bCs w:val="0"/>
        </w:rPr>
      </w:r>
      <w:r/>
    </w:p>
    <w:p>
      <w:pPr>
        <w:pStyle w:val="674"/>
        <w:ind w:firstLine="708"/>
        <w:jc w:val="center"/>
        <w:rPr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Общие положения</w:t>
      </w:r>
      <w:r>
        <w:rPr>
          <w:b/>
          <w:bCs/>
          <w:color w:val="000000" w:themeColor="text1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Постоянной действующая экспертная комиссия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– ЭК)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 Совета депутатов муниципального округа Савеловский в городе Москве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создается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целях организации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методической и практической работы по экспертизе ценности документов, образовавшихся в деятельности организации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отбору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подготовке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передаче на постоянное хранение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Государственное бюджетное учреждение города Москвы «Центральный государственный архив города Москвы» (далее - ГБУ «ЦГА Москвы») документов Архивного фонда Москвы, являющегося составной частью Архивного фонда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далее - Архивный фонд Москвы), включая, управленческую и другую документацию, находящуюся на хранении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4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ЭК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постоянно действующим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совещательным органом при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Савеловский в городе Москве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соз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главы муниципального округа Савеловский в городе Москве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действует на основании Положения. Положение об ЭК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подлежит согласованию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Центральной экспертно-проверочной коми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ссией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ЦЭПК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Главархива Москвы.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согласования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ЦЭПК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Главар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хива Москвы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об ЭК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утверждает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главой муниципального округа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Савеловский в городе Москве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Персональный состав ЭК определяется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распоряжением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Савеловский в городе Москве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состав ЭК включаются: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председатель комиссии, секретарь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комиссии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сотрудник, ответственный за ведение архива 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качестве экспертов к работе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ЭК могут привлекаться представители сторонних организаций, в том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числе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Главархива Москвы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ГБУ «ЦГА Москвы».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 ЭК назначается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Савеловский в городе Москве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В своей работе ЭК руководствуется Федеральным законом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2004 № 125-ФЗ «Об архивн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 деле в Российской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Федерации»,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нормативными документами уполномоченного федерального органа исполнительной власти в сфере архивного дела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делопроизводства,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Законом города Москвы от 28 ноября 2001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67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Архивном фонде Москвы и архивах», постановлениями и распоряжениями Мэра и Правительства Москвы,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государственной власти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органах местного самоуправления и организациях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(М.,2015)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нормативными и методическими  документами Главархива Москвы,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распоряди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тельными документами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настоящим Положением.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674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674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Функции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экспертной комиссии</w:t>
      </w:r>
      <w:r>
        <w:rPr>
          <w:b/>
          <w:bCs/>
        </w:rPr>
      </w:r>
      <w:r/>
    </w:p>
    <w:p>
      <w:pPr>
        <w:pStyle w:val="674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Экспертная комиссия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осуществляет следующие функции: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.1. Организует ежегодный отбор дел, образующихся в деятельности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для дальнейшего их хранения или  выделения к уничтожению.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.2. Организует и осуществляет методическое руководство по подготовке и рассмотрению номенклатуры дел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.3.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Рассматривает,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принимает решения о согласовании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совместно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ответственным лицом, осуществляющим хранение, комплектование,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использование архивных документов (далее 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ответственное лицо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обеспечивает представление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.3.1.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утверждение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ЦЭПК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Главархива Москвы,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 затем на утверждение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Савеловский в городе Москве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опис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дел постоянного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хранения управленческой документации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4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.3.2.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согласование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ЦЭПК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Главархива Москвы,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 затем на утверждение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Савеловский в городе Москве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описей дел по личному составу;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номенклатуры дел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акт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неисправимых повреждениях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архивных документов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674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актов об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утрате документов;</w:t>
      </w:r>
      <w:r>
        <w:rPr>
          <w:b w:val="0"/>
          <w:bCs w:val="0"/>
        </w:rPr>
      </w:r>
      <w:r/>
    </w:p>
    <w:p>
      <w:pPr>
        <w:pStyle w:val="674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рассмотрение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ЦЭПК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Главархива Москвы: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предложени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установлении (изменении) сроков хранения документов,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 организаций, с указанием сроков их хранения, с последующим представлением их на согласование ЦЭПК при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Федеральном архивном агентстве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Росархив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):</w:t>
      </w:r>
      <w:r>
        <w:rPr>
          <w:b w:val="0"/>
          <w:bCs w:val="0"/>
        </w:rPr>
      </w:r>
      <w:r/>
    </w:p>
    <w:p>
      <w:pPr>
        <w:pStyle w:val="674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б) проект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методических документов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де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лопроизводству и архивному делу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674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других вопросов, входящих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компетенцию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ЦЭПК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Главархива Москвы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утверждение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Савеловский в городе Москве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без рас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смотрения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ЦЭПК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Главархива Москвы: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описей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дел временн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(свыше 10 лет) сроков хранения;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выделении к уничтожению документов, не подлежащих хранению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4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2.4.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Совместно 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лицом,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ответственным за архив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организует для работников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консультации по вопросам работы с документами, оказывает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 методическую помощь, участвует в подготовке и проведении мероприятий по повышению их квалификации.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67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674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Права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экспертной комиссии</w:t>
      </w:r>
      <w:r>
        <w:rPr>
          <w:b/>
          <w:bCs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Э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кспертная комиссия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имеет право: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.1. Давать рекомендации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работникам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вопросам разработки номенклатур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инструкции по делопроизводству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.2. Запрашивать 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работников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б) предложения и заключения, необходимые для определения сроков хранения документов.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.3. Заслушивать на своих заседаниях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работников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ходе подготовки документов к передаче на хранение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архив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об условиях хранения и обеспечения сохранности документов, в том числе Архивного фонда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Москвы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 причинах утраты документов.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.4. Приглашать на заседания ЭК в качестве консультантов и экспертов представителей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архивных,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научных, общественных и иных организаций.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.5. Не принимать к рассмотрению и возвращать на доработку документы, подготовленные с нарушением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равил организации хранения, комплектования, учета и использования документов Архивного фонда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других архивных документов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органах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ой власти,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органах местного самоуправления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организациях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.6. Информировать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Савеловский в городе Москве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вопросам, относящимся к компетенции ЭК.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674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674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экспертной комиссии</w:t>
      </w:r>
      <w:r>
        <w:rPr>
          <w:b/>
          <w:bCs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ЭК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своей работе взаимодействует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ЦЭПК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Главархива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Москвы, а также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ГБУ «ЦГА Москвы».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Вопросы, относящиеся к компетенции ЭК, рассматриваются 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ее заседаниях, которые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роводятся по мере необходимости.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 заседания ЭК протоколируются.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Заседание ЭК и принятые решения считаются правомочными,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если на заседании присутствует более половины ее состава.</w:t>
      </w:r>
      <w:r>
        <w:rPr>
          <w:b w:val="0"/>
          <w:bCs w:val="0"/>
        </w:rPr>
      </w:r>
      <w:r/>
    </w:p>
    <w:p>
      <w:pPr>
        <w:pStyle w:val="674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4.4.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Решения ЭК принимаются по каждому вопросу (документу) 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дельно большинством голосов присутствующих на заседании членов комиссии. При разделении голосов поровну решение принимает председатель ЭК. Право решающего голоса имеют только члены ЭК. Приглашенные консультанты и эксперты имеют право совещательного голоса.</w:t>
      </w:r>
      <w:r>
        <w:rPr>
          <w:b w:val="0"/>
          <w:bCs w:val="0"/>
        </w:rPr>
      </w:r>
      <w:r/>
    </w:p>
    <w:p>
      <w:pPr>
        <w:pStyle w:val="674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4.5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Ведение делопроизводства ЭК, хранение и использование ее доку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ентов, ответственность за их сохранность, а также контроль за исполнением принятых решений возлагаются на секретаря ЭК.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yellow"/>
        </w:rPr>
      </w:r>
      <w:r/>
    </w:p>
    <w:p>
      <w:pPr>
        <w:pStyle w:val="67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67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СОГЛАСОВАНО</w:t>
      </w:r>
      <w:r>
        <w:rPr>
          <w:sz w:val="24"/>
          <w:szCs w:val="24"/>
        </w:rPr>
      </w:r>
      <w:r/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ЭК </w:t>
      </w:r>
      <w:r>
        <w:rPr>
          <w:rFonts w:ascii="Times New Roman" w:hAnsi="Times New Roman" w:cs="Times New Roman"/>
          <w:bCs/>
          <w:sz w:val="24"/>
          <w:szCs w:val="24"/>
        </w:rPr>
        <w:t xml:space="preserve">аппарата Совета</w:t>
      </w:r>
      <w:r>
        <w:rPr>
          <w:sz w:val="24"/>
          <w:szCs w:val="24"/>
        </w:rPr>
      </w:r>
      <w:r/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депутатов муниципального округа </w:t>
      </w:r>
      <w:r>
        <w:rPr>
          <w:sz w:val="24"/>
          <w:szCs w:val="24"/>
        </w:rPr>
      </w:r>
      <w:r/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Савеловский в городе Москве</w:t>
      </w:r>
      <w:r>
        <w:rPr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b w:val="0"/>
          <w:bCs w:val="0"/>
          <w:color w:val="000000"/>
          <w:sz w:val="24"/>
          <w:szCs w:val="24"/>
        </w:rPr>
        <w:t xml:space="preserve">«___» ____ 2024 года № ___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  <w:r/>
    </w:p>
    <w:p>
      <w:pPr>
        <w:jc w:val="center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/>
      </w:rPr>
    </w:lvl>
    <w:lvl w:ilvl="1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semiHidden/>
    <w:unhideWhenUsed/>
    <w:rPr>
      <w:color w:val="0000ff"/>
      <w:u w:val="single"/>
    </w:rPr>
  </w:style>
  <w:style w:type="table" w:styleId="836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List Paragraph"/>
    <w:basedOn w:val="831"/>
    <w:uiPriority w:val="34"/>
    <w:qFormat/>
    <w:pPr>
      <w:contextualSpacing/>
      <w:ind w:left="720"/>
    </w:pPr>
  </w:style>
  <w:style w:type="character" w:styleId="838" w:customStyle="1">
    <w:name w:val="docdata,docy,v5,2434,bqiaagaaeyqcaaagiaiaaao8caaabcoiaaaaaaaaaaaaaaaaaaaaaaaaaaaaaaaaaaaaaaaaaaaaaaaaaaaaaaaaaaaaaaaaaaaaaaaaaaaaaaaaaaaaaaaaaaaaaaaaaaaaaaaaaaaaaaaaaaaaaaaaaaaaaaaaaaaaaaaaaaaaaaaaaaaaaaaaaaaaaaaaaaaaaaaaaaaaaaaaaaaaaaaaaaaaaaaaaaaaaaaa"/>
  </w:style>
  <w:style w:type="character" w:styleId="839" w:customStyle="1">
    <w:name w:val="Гиперссылка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55</cp:revision>
  <dcterms:created xsi:type="dcterms:W3CDTF">2024-04-16T06:48:00Z</dcterms:created>
  <dcterms:modified xsi:type="dcterms:W3CDTF">2024-05-23T11:26:51Z</dcterms:modified>
</cp:coreProperties>
</file>